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D9525" w14:textId="77777777" w:rsidR="00AE634A" w:rsidRDefault="00B40EE4">
      <w:pPr>
        <w:spacing w:after="200"/>
      </w:pPr>
      <w:r>
        <w:rPr>
          <w:noProof/>
        </w:rPr>
        <w:drawing>
          <wp:inline distT="0" distB="0" distL="0" distR="0" wp14:anchorId="7F18367E" wp14:editId="5EEF697F">
            <wp:extent cx="1466850" cy="33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66850" cy="333375"/>
                    </a:xfrm>
                    <a:prstGeom prst="rect">
                      <a:avLst/>
                    </a:prstGeom>
                  </pic:spPr>
                </pic:pic>
              </a:graphicData>
            </a:graphic>
          </wp:inline>
        </w:drawing>
      </w:r>
    </w:p>
    <w:p w14:paraId="7FDF67B5" w14:textId="77777777" w:rsidR="00AE634A" w:rsidRDefault="00B40EE4">
      <w:pPr>
        <w:spacing w:after="90"/>
      </w:pPr>
      <w:r>
        <w:rPr>
          <w:b/>
          <w:bCs/>
          <w:color w:val="00807C"/>
          <w:sz w:val="30"/>
          <w:szCs w:val="30"/>
        </w:rPr>
        <w:t>Commission Payment Schedule</w:t>
      </w:r>
    </w:p>
    <w:p w14:paraId="389A8A18" w14:textId="77777777" w:rsidR="00AE634A" w:rsidRDefault="00B40EE4">
      <w:pPr>
        <w:spacing w:after="160"/>
      </w:pPr>
      <w:r>
        <w:rPr>
          <w:b/>
          <w:bCs/>
          <w:color w:val="5E6B6A"/>
        </w:rPr>
        <w:t>Draft for legal review. Version 1.0. Effective [date].</w:t>
      </w:r>
    </w:p>
    <w:p w14:paraId="1BB09C34" w14:textId="6AF1A142" w:rsidR="00AE634A" w:rsidRDefault="00B40EE4">
      <w:pPr>
        <w:spacing w:after="120"/>
      </w:pPr>
      <w:r>
        <w:rPr>
          <w:color w:val="000000"/>
        </w:rPr>
        <w:t xml:space="preserve">This Commission Payment Schedule is issued under </w:t>
      </w:r>
      <w:r w:rsidR="00F92D03">
        <w:rPr>
          <w:color w:val="000000"/>
        </w:rPr>
        <w:t xml:space="preserve">clause </w:t>
      </w:r>
      <w:r>
        <w:rPr>
          <w:color w:val="000000"/>
        </w:rPr>
        <w:t>2 of the BiiGGA Broker Partner Terms, published at https://assets.biigga.au/BiiGGA_Broker_Partner_Terms.pdf, and forms part of those Partner Terms. Capitalised terms have the meaning given to them in the Partner Terms.</w:t>
      </w:r>
    </w:p>
    <w:p w14:paraId="6165366E" w14:textId="4ECEC1B4" w:rsidR="00AE634A" w:rsidRDefault="00B40EE4">
      <w:pPr>
        <w:spacing w:after="180"/>
      </w:pPr>
      <w:r>
        <w:rPr>
          <w:color w:val="000000"/>
        </w:rPr>
        <w:t xml:space="preserve">BiiGGA may vary this Commission Payment Schedule by giving you not less than </w:t>
      </w:r>
      <w:r w:rsidR="00F92D03">
        <w:rPr>
          <w:color w:val="000000"/>
        </w:rPr>
        <w:t xml:space="preserve">thirty </w:t>
      </w:r>
      <w:r>
        <w:rPr>
          <w:color w:val="000000"/>
        </w:rPr>
        <w:t>(</w:t>
      </w:r>
      <w:r w:rsidR="00F92D03">
        <w:rPr>
          <w:color w:val="000000"/>
        </w:rPr>
        <w:t>30</w:t>
      </w:r>
      <w:r>
        <w:rPr>
          <w:color w:val="000000"/>
        </w:rPr>
        <w:t>) days’ written notice of the varied schedule and the date on which it takes effect, or by publishing the varied schedule on our website with that effective date. A varied schedule applies only to Applications submitted on or after its effective date. Commission on Applications submitted before that date is calculated under the schedule in force at the date of submission.</w:t>
      </w:r>
    </w:p>
    <w:p w14:paraId="02E5F501" w14:textId="77777777" w:rsidR="00AE634A" w:rsidRDefault="00B40EE4">
      <w:pPr>
        <w:keepNext/>
        <w:spacing w:before="300" w:after="130"/>
        <w:ind w:left="420" w:hanging="420"/>
      </w:pPr>
      <w:r>
        <w:rPr>
          <w:b/>
          <w:bCs/>
          <w:color w:val="00807C"/>
          <w:sz w:val="22"/>
          <w:szCs w:val="22"/>
        </w:rPr>
        <w:t>1.</w:t>
      </w:r>
      <w:r>
        <w:rPr>
          <w:b/>
          <w:bCs/>
          <w:color w:val="00807C"/>
          <w:sz w:val="22"/>
          <w:szCs w:val="22"/>
        </w:rPr>
        <w:tab/>
        <w:t>Commission rates</w:t>
      </w:r>
    </w:p>
    <w:p w14:paraId="4AF4CF13" w14:textId="77777777" w:rsidR="00AE634A" w:rsidRDefault="00B40EE4">
      <w:pPr>
        <w:spacing w:after="120"/>
      </w:pPr>
      <w:r>
        <w:rPr>
          <w:color w:val="000000"/>
        </w:rPr>
        <w:t>These rates apply to accredited brokers. All rates are exclusive of GST.</w:t>
      </w:r>
    </w:p>
    <w:p w14:paraId="2CB8F016" w14:textId="77777777" w:rsidR="00AE634A" w:rsidRDefault="00B40EE4">
      <w:pPr>
        <w:spacing w:before="140" w:after="80"/>
      </w:pPr>
      <w:r>
        <w:rPr>
          <w:b/>
          <w:bCs/>
          <w:color w:val="000000"/>
        </w:rPr>
        <w:t>New Money</w:t>
      </w:r>
    </w:p>
    <w:tbl>
      <w:tblPr>
        <w:tblW w:w="9900" w:type="dxa"/>
        <w:tblBorders>
          <w:top w:val="single" w:sz="4" w:space="0" w:color="C6DBD9"/>
          <w:left w:val="single" w:sz="4" w:space="0" w:color="C6DBD9"/>
          <w:bottom w:val="single" w:sz="4" w:space="0" w:color="C6DBD9"/>
          <w:right w:val="single" w:sz="4" w:space="0" w:color="C6DBD9"/>
          <w:insideH w:val="single" w:sz="4" w:space="0" w:color="C6DBD9"/>
          <w:insideV w:val="single" w:sz="4" w:space="0" w:color="C6DBD9"/>
        </w:tblBorders>
        <w:tblCellMar>
          <w:left w:w="10" w:type="dxa"/>
          <w:right w:w="10" w:type="dxa"/>
        </w:tblCellMar>
        <w:tblLook w:val="04A0" w:firstRow="1" w:lastRow="0" w:firstColumn="1" w:lastColumn="0" w:noHBand="0" w:noVBand="1"/>
      </w:tblPr>
      <w:tblGrid>
        <w:gridCol w:w="4200"/>
        <w:gridCol w:w="1500"/>
        <w:gridCol w:w="4200"/>
      </w:tblGrid>
      <w:tr w:rsidR="00AE634A" w14:paraId="75AF97FC" w14:textId="77777777">
        <w:trPr>
          <w:tblHeader/>
        </w:trPr>
        <w:tc>
          <w:tcPr>
            <w:tcW w:w="4200" w:type="dxa"/>
            <w:shd w:val="clear" w:color="auto" w:fill="E8F8F7"/>
            <w:tcMar>
              <w:top w:w="80" w:type="dxa"/>
              <w:left w:w="110" w:type="dxa"/>
              <w:bottom w:w="80" w:type="dxa"/>
              <w:right w:w="110" w:type="dxa"/>
            </w:tcMar>
          </w:tcPr>
          <w:p w14:paraId="4DDF40DA" w14:textId="77777777" w:rsidR="00AE634A" w:rsidRDefault="00B40EE4">
            <w:r>
              <w:rPr>
                <w:b/>
                <w:bCs/>
                <w:color w:val="00807C"/>
              </w:rPr>
              <w:t>Product</w:t>
            </w:r>
          </w:p>
        </w:tc>
        <w:tc>
          <w:tcPr>
            <w:tcW w:w="1500" w:type="dxa"/>
            <w:shd w:val="clear" w:color="auto" w:fill="E8F8F7"/>
            <w:tcMar>
              <w:top w:w="80" w:type="dxa"/>
              <w:left w:w="110" w:type="dxa"/>
              <w:bottom w:w="80" w:type="dxa"/>
              <w:right w:w="110" w:type="dxa"/>
            </w:tcMar>
          </w:tcPr>
          <w:p w14:paraId="08C7C244" w14:textId="77777777" w:rsidR="00AE634A" w:rsidRDefault="00B40EE4">
            <w:r>
              <w:rPr>
                <w:b/>
                <w:bCs/>
                <w:color w:val="00807C"/>
              </w:rPr>
              <w:t>Rate</w:t>
            </w:r>
          </w:p>
        </w:tc>
        <w:tc>
          <w:tcPr>
            <w:tcW w:w="4200" w:type="dxa"/>
            <w:shd w:val="clear" w:color="auto" w:fill="E8F8F7"/>
            <w:tcMar>
              <w:top w:w="80" w:type="dxa"/>
              <w:left w:w="110" w:type="dxa"/>
              <w:bottom w:w="80" w:type="dxa"/>
              <w:right w:w="110" w:type="dxa"/>
            </w:tcMar>
          </w:tcPr>
          <w:p w14:paraId="727460B9" w14:textId="77777777" w:rsidR="00AE634A" w:rsidRDefault="00B40EE4">
            <w:r>
              <w:rPr>
                <w:b/>
                <w:bCs/>
                <w:color w:val="00807C"/>
              </w:rPr>
              <w:t>Calculation basis</w:t>
            </w:r>
          </w:p>
        </w:tc>
      </w:tr>
      <w:tr w:rsidR="00AE634A" w14:paraId="05631A2D" w14:textId="77777777">
        <w:tc>
          <w:tcPr>
            <w:tcW w:w="4200" w:type="dxa"/>
            <w:tcMar>
              <w:top w:w="80" w:type="dxa"/>
              <w:left w:w="110" w:type="dxa"/>
              <w:bottom w:w="80" w:type="dxa"/>
              <w:right w:w="110" w:type="dxa"/>
            </w:tcMar>
          </w:tcPr>
          <w:p w14:paraId="6C668545" w14:textId="77777777" w:rsidR="00AE634A" w:rsidRDefault="00B40EE4">
            <w:r>
              <w:rPr>
                <w:b/>
                <w:bCs/>
                <w:color w:val="000000"/>
              </w:rPr>
              <w:t>Merchant Cash Advance (MCA)</w:t>
            </w:r>
          </w:p>
        </w:tc>
        <w:tc>
          <w:tcPr>
            <w:tcW w:w="1500" w:type="dxa"/>
            <w:tcMar>
              <w:top w:w="80" w:type="dxa"/>
              <w:left w:w="110" w:type="dxa"/>
              <w:bottom w:w="80" w:type="dxa"/>
              <w:right w:w="110" w:type="dxa"/>
            </w:tcMar>
          </w:tcPr>
          <w:p w14:paraId="3413A978" w14:textId="77777777" w:rsidR="00AE634A" w:rsidRDefault="00B40EE4">
            <w:r>
              <w:rPr>
                <w:color w:val="000000"/>
              </w:rPr>
              <w:t>6%</w:t>
            </w:r>
          </w:p>
        </w:tc>
        <w:tc>
          <w:tcPr>
            <w:tcW w:w="4200" w:type="dxa"/>
            <w:tcMar>
              <w:top w:w="80" w:type="dxa"/>
              <w:left w:w="110" w:type="dxa"/>
              <w:bottom w:w="80" w:type="dxa"/>
              <w:right w:w="110" w:type="dxa"/>
            </w:tcMar>
          </w:tcPr>
          <w:p w14:paraId="71592EBE" w14:textId="77777777" w:rsidR="00AE634A" w:rsidRDefault="00B40EE4">
            <w:r>
              <w:rPr>
                <w:color w:val="000000"/>
              </w:rPr>
              <w:t>Funded Amount</w:t>
            </w:r>
          </w:p>
        </w:tc>
      </w:tr>
      <w:tr w:rsidR="00AE634A" w14:paraId="229A6CC5" w14:textId="77777777">
        <w:tc>
          <w:tcPr>
            <w:tcW w:w="4200" w:type="dxa"/>
            <w:tcMar>
              <w:top w:w="80" w:type="dxa"/>
              <w:left w:w="110" w:type="dxa"/>
              <w:bottom w:w="80" w:type="dxa"/>
              <w:right w:w="110" w:type="dxa"/>
            </w:tcMar>
          </w:tcPr>
          <w:p w14:paraId="45EFDA3C" w14:textId="77777777" w:rsidR="00AE634A" w:rsidRDefault="00B40EE4">
            <w:r>
              <w:rPr>
                <w:b/>
                <w:bCs/>
                <w:color w:val="000000"/>
              </w:rPr>
              <w:t>Business Term Advance (BTA)</w:t>
            </w:r>
          </w:p>
        </w:tc>
        <w:tc>
          <w:tcPr>
            <w:tcW w:w="1500" w:type="dxa"/>
            <w:tcMar>
              <w:top w:w="80" w:type="dxa"/>
              <w:left w:w="110" w:type="dxa"/>
              <w:bottom w:w="80" w:type="dxa"/>
              <w:right w:w="110" w:type="dxa"/>
            </w:tcMar>
          </w:tcPr>
          <w:p w14:paraId="1D93F7E1" w14:textId="77777777" w:rsidR="00AE634A" w:rsidRDefault="00B40EE4">
            <w:r>
              <w:rPr>
                <w:color w:val="000000"/>
              </w:rPr>
              <w:t>6%</w:t>
            </w:r>
          </w:p>
        </w:tc>
        <w:tc>
          <w:tcPr>
            <w:tcW w:w="4200" w:type="dxa"/>
            <w:tcMar>
              <w:top w:w="80" w:type="dxa"/>
              <w:left w:w="110" w:type="dxa"/>
              <w:bottom w:w="80" w:type="dxa"/>
              <w:right w:w="110" w:type="dxa"/>
            </w:tcMar>
          </w:tcPr>
          <w:p w14:paraId="50994289" w14:textId="77777777" w:rsidR="00AE634A" w:rsidRDefault="00B40EE4">
            <w:r>
              <w:rPr>
                <w:color w:val="000000"/>
              </w:rPr>
              <w:t>Funded Amount</w:t>
            </w:r>
          </w:p>
        </w:tc>
      </w:tr>
      <w:tr w:rsidR="00AE634A" w14:paraId="4A95848F" w14:textId="77777777">
        <w:tc>
          <w:tcPr>
            <w:tcW w:w="4200" w:type="dxa"/>
            <w:tcMar>
              <w:top w:w="80" w:type="dxa"/>
              <w:left w:w="110" w:type="dxa"/>
              <w:bottom w:w="80" w:type="dxa"/>
              <w:right w:w="110" w:type="dxa"/>
            </w:tcMar>
          </w:tcPr>
          <w:p w14:paraId="194B83BB" w14:textId="77777777" w:rsidR="00AE634A" w:rsidRDefault="00B40EE4">
            <w:r>
              <w:rPr>
                <w:b/>
                <w:bCs/>
                <w:color w:val="000000"/>
              </w:rPr>
              <w:t>Line of Credit (LOC)</w:t>
            </w:r>
          </w:p>
        </w:tc>
        <w:tc>
          <w:tcPr>
            <w:tcW w:w="1500" w:type="dxa"/>
            <w:tcMar>
              <w:top w:w="80" w:type="dxa"/>
              <w:left w:w="110" w:type="dxa"/>
              <w:bottom w:w="80" w:type="dxa"/>
              <w:right w:w="110" w:type="dxa"/>
            </w:tcMar>
          </w:tcPr>
          <w:p w14:paraId="01095F53" w14:textId="77777777" w:rsidR="00AE634A" w:rsidRDefault="00B40EE4">
            <w:r>
              <w:rPr>
                <w:color w:val="000000"/>
              </w:rPr>
              <w:t>6%</w:t>
            </w:r>
          </w:p>
        </w:tc>
        <w:tc>
          <w:tcPr>
            <w:tcW w:w="4200" w:type="dxa"/>
            <w:tcMar>
              <w:top w:w="80" w:type="dxa"/>
              <w:left w:w="110" w:type="dxa"/>
              <w:bottom w:w="80" w:type="dxa"/>
              <w:right w:w="110" w:type="dxa"/>
            </w:tcMar>
          </w:tcPr>
          <w:p w14:paraId="5F9AA414" w14:textId="77777777" w:rsidR="00AE634A" w:rsidRDefault="00B40EE4">
            <w:r>
              <w:rPr>
                <w:color w:val="000000"/>
              </w:rPr>
              <w:t>Approved facility limit at establishment</w:t>
            </w:r>
          </w:p>
        </w:tc>
      </w:tr>
    </w:tbl>
    <w:p w14:paraId="650B3977" w14:textId="6D88ED65" w:rsidR="00AE634A" w:rsidRDefault="00B40EE4">
      <w:pPr>
        <w:spacing w:before="220" w:after="80"/>
      </w:pPr>
      <w:r>
        <w:rPr>
          <w:b/>
          <w:bCs/>
          <w:color w:val="000000"/>
        </w:rPr>
        <w:t>Top Up</w:t>
      </w:r>
      <w:r w:rsidR="0004477A">
        <w:rPr>
          <w:b/>
          <w:bCs/>
          <w:color w:val="000000"/>
        </w:rPr>
        <w:t xml:space="preserve">, </w:t>
      </w:r>
      <w:r>
        <w:rPr>
          <w:b/>
          <w:bCs/>
          <w:color w:val="000000"/>
        </w:rPr>
        <w:t>MCA and BTA</w:t>
      </w:r>
    </w:p>
    <w:p w14:paraId="7AA86A0F" w14:textId="77777777" w:rsidR="00AE634A" w:rsidRDefault="00B40EE4">
      <w:pPr>
        <w:spacing w:after="120"/>
      </w:pPr>
      <w:r>
        <w:rPr>
          <w:color w:val="000000"/>
        </w:rPr>
        <w:t>A Top Up is split into three components. Each is paid at its own rate. The three components always add up to the Purchased Amount of the new Contract.</w:t>
      </w:r>
    </w:p>
    <w:tbl>
      <w:tblPr>
        <w:tblW w:w="9900" w:type="dxa"/>
        <w:tblBorders>
          <w:top w:val="single" w:sz="4" w:space="0" w:color="C6DBD9"/>
          <w:left w:val="single" w:sz="4" w:space="0" w:color="C6DBD9"/>
          <w:bottom w:val="single" w:sz="4" w:space="0" w:color="C6DBD9"/>
          <w:right w:val="single" w:sz="4" w:space="0" w:color="C6DBD9"/>
          <w:insideH w:val="single" w:sz="4" w:space="0" w:color="C6DBD9"/>
          <w:insideV w:val="single" w:sz="4" w:space="0" w:color="C6DBD9"/>
        </w:tblBorders>
        <w:tblCellMar>
          <w:left w:w="10" w:type="dxa"/>
          <w:right w:w="10" w:type="dxa"/>
        </w:tblCellMar>
        <w:tblLook w:val="04A0" w:firstRow="1" w:lastRow="0" w:firstColumn="1" w:lastColumn="0" w:noHBand="0" w:noVBand="1"/>
      </w:tblPr>
      <w:tblGrid>
        <w:gridCol w:w="2900"/>
        <w:gridCol w:w="1300"/>
        <w:gridCol w:w="5700"/>
      </w:tblGrid>
      <w:tr w:rsidR="00AE634A" w14:paraId="2E2160D8" w14:textId="77777777">
        <w:trPr>
          <w:tblHeader/>
        </w:trPr>
        <w:tc>
          <w:tcPr>
            <w:tcW w:w="2900" w:type="dxa"/>
            <w:shd w:val="clear" w:color="auto" w:fill="E8F8F7"/>
            <w:tcMar>
              <w:top w:w="80" w:type="dxa"/>
              <w:left w:w="110" w:type="dxa"/>
              <w:bottom w:w="80" w:type="dxa"/>
              <w:right w:w="110" w:type="dxa"/>
            </w:tcMar>
          </w:tcPr>
          <w:p w14:paraId="29F9CDDE" w14:textId="77777777" w:rsidR="00AE634A" w:rsidRDefault="00B40EE4">
            <w:r>
              <w:rPr>
                <w:b/>
                <w:bCs/>
                <w:color w:val="00807C"/>
              </w:rPr>
              <w:t>Component</w:t>
            </w:r>
          </w:p>
        </w:tc>
        <w:tc>
          <w:tcPr>
            <w:tcW w:w="1300" w:type="dxa"/>
            <w:shd w:val="clear" w:color="auto" w:fill="E8F8F7"/>
            <w:tcMar>
              <w:top w:w="80" w:type="dxa"/>
              <w:left w:w="110" w:type="dxa"/>
              <w:bottom w:w="80" w:type="dxa"/>
              <w:right w:w="110" w:type="dxa"/>
            </w:tcMar>
          </w:tcPr>
          <w:p w14:paraId="6F5B8068" w14:textId="77777777" w:rsidR="00AE634A" w:rsidRDefault="00B40EE4">
            <w:r>
              <w:rPr>
                <w:b/>
                <w:bCs/>
                <w:color w:val="00807C"/>
              </w:rPr>
              <w:t>Rate</w:t>
            </w:r>
          </w:p>
        </w:tc>
        <w:tc>
          <w:tcPr>
            <w:tcW w:w="5700" w:type="dxa"/>
            <w:shd w:val="clear" w:color="auto" w:fill="E8F8F7"/>
            <w:tcMar>
              <w:top w:w="80" w:type="dxa"/>
              <w:left w:w="110" w:type="dxa"/>
              <w:bottom w:w="80" w:type="dxa"/>
              <w:right w:w="110" w:type="dxa"/>
            </w:tcMar>
          </w:tcPr>
          <w:p w14:paraId="245A0FEB" w14:textId="77777777" w:rsidR="00AE634A" w:rsidRDefault="00B40EE4">
            <w:r>
              <w:rPr>
                <w:b/>
                <w:bCs/>
                <w:color w:val="00807C"/>
              </w:rPr>
              <w:t>What it is</w:t>
            </w:r>
          </w:p>
        </w:tc>
      </w:tr>
      <w:tr w:rsidR="00AE634A" w14:paraId="3F15E29E" w14:textId="77777777">
        <w:tc>
          <w:tcPr>
            <w:tcW w:w="2900" w:type="dxa"/>
            <w:tcMar>
              <w:top w:w="80" w:type="dxa"/>
              <w:left w:w="110" w:type="dxa"/>
              <w:bottom w:w="80" w:type="dxa"/>
              <w:right w:w="110" w:type="dxa"/>
            </w:tcMar>
          </w:tcPr>
          <w:p w14:paraId="518D1A55" w14:textId="77777777" w:rsidR="00AE634A" w:rsidRDefault="00B40EE4">
            <w:r>
              <w:rPr>
                <w:b/>
                <w:bCs/>
                <w:color w:val="000000"/>
              </w:rPr>
              <w:t>New Money Portion</w:t>
            </w:r>
          </w:p>
        </w:tc>
        <w:tc>
          <w:tcPr>
            <w:tcW w:w="1300" w:type="dxa"/>
            <w:tcMar>
              <w:top w:w="80" w:type="dxa"/>
              <w:left w:w="110" w:type="dxa"/>
              <w:bottom w:w="80" w:type="dxa"/>
              <w:right w:w="110" w:type="dxa"/>
            </w:tcMar>
          </w:tcPr>
          <w:p w14:paraId="2D37FCE1" w14:textId="77777777" w:rsidR="00AE634A" w:rsidRDefault="00B40EE4">
            <w:r>
              <w:rPr>
                <w:color w:val="000000"/>
              </w:rPr>
              <w:t>6%</w:t>
            </w:r>
          </w:p>
        </w:tc>
        <w:tc>
          <w:tcPr>
            <w:tcW w:w="5700" w:type="dxa"/>
            <w:tcMar>
              <w:top w:w="80" w:type="dxa"/>
              <w:left w:w="110" w:type="dxa"/>
              <w:bottom w:w="80" w:type="dxa"/>
              <w:right w:w="110" w:type="dxa"/>
            </w:tcMar>
          </w:tcPr>
          <w:p w14:paraId="57ED20F3" w14:textId="77777777" w:rsidR="00AE634A" w:rsidRDefault="00B40EE4">
            <w:r>
              <w:rPr>
                <w:color w:val="000000"/>
              </w:rPr>
              <w:t>The increase in facility size, being the Purchased Amount of the new Contract less the Purchased Amount of the earlier Contract. Never less than nil.</w:t>
            </w:r>
          </w:p>
        </w:tc>
      </w:tr>
      <w:tr w:rsidR="00AE634A" w14:paraId="4E2AC9CF" w14:textId="77777777">
        <w:tc>
          <w:tcPr>
            <w:tcW w:w="2900" w:type="dxa"/>
            <w:tcMar>
              <w:top w:w="80" w:type="dxa"/>
              <w:left w:w="110" w:type="dxa"/>
              <w:bottom w:w="80" w:type="dxa"/>
              <w:right w:w="110" w:type="dxa"/>
            </w:tcMar>
          </w:tcPr>
          <w:p w14:paraId="45A3A728" w14:textId="77777777" w:rsidR="00AE634A" w:rsidRDefault="00B40EE4">
            <w:r>
              <w:rPr>
                <w:b/>
                <w:bCs/>
                <w:color w:val="000000"/>
              </w:rPr>
              <w:t>Repaid Portion</w:t>
            </w:r>
          </w:p>
        </w:tc>
        <w:tc>
          <w:tcPr>
            <w:tcW w:w="1300" w:type="dxa"/>
            <w:tcMar>
              <w:top w:w="80" w:type="dxa"/>
              <w:left w:w="110" w:type="dxa"/>
              <w:bottom w:w="80" w:type="dxa"/>
              <w:right w:w="110" w:type="dxa"/>
            </w:tcMar>
          </w:tcPr>
          <w:p w14:paraId="3250889E" w14:textId="77777777" w:rsidR="00AE634A" w:rsidRDefault="00B40EE4">
            <w:r>
              <w:rPr>
                <w:color w:val="000000"/>
              </w:rPr>
              <w:t>2%</w:t>
            </w:r>
          </w:p>
        </w:tc>
        <w:tc>
          <w:tcPr>
            <w:tcW w:w="5700" w:type="dxa"/>
            <w:tcMar>
              <w:top w:w="80" w:type="dxa"/>
              <w:left w:w="110" w:type="dxa"/>
              <w:bottom w:w="80" w:type="dxa"/>
              <w:right w:w="110" w:type="dxa"/>
            </w:tcMar>
          </w:tcPr>
          <w:p w14:paraId="5695DC21" w14:textId="77777777" w:rsidR="00AE634A" w:rsidRDefault="00B40EE4">
            <w:r>
              <w:rPr>
                <w:color w:val="000000"/>
              </w:rPr>
              <w:t>The part of the earlier facility the Identified Merchant has already repaid and is now drawing again, being the Purchased Amount of the new Contract less the Outstanding Balance less the New Money Portion.</w:t>
            </w:r>
          </w:p>
        </w:tc>
      </w:tr>
      <w:tr w:rsidR="00AE634A" w14:paraId="1C749756" w14:textId="77777777">
        <w:tc>
          <w:tcPr>
            <w:tcW w:w="2900" w:type="dxa"/>
            <w:tcMar>
              <w:top w:w="80" w:type="dxa"/>
              <w:left w:w="110" w:type="dxa"/>
              <w:bottom w:w="80" w:type="dxa"/>
              <w:right w:w="110" w:type="dxa"/>
            </w:tcMar>
          </w:tcPr>
          <w:p w14:paraId="5A8CF2A6" w14:textId="77777777" w:rsidR="00AE634A" w:rsidRDefault="00B40EE4">
            <w:r>
              <w:rPr>
                <w:b/>
                <w:bCs/>
                <w:color w:val="000000"/>
              </w:rPr>
              <w:t>Outstanding Balance</w:t>
            </w:r>
          </w:p>
        </w:tc>
        <w:tc>
          <w:tcPr>
            <w:tcW w:w="1300" w:type="dxa"/>
            <w:tcMar>
              <w:top w:w="80" w:type="dxa"/>
              <w:left w:w="110" w:type="dxa"/>
              <w:bottom w:w="80" w:type="dxa"/>
              <w:right w:w="110" w:type="dxa"/>
            </w:tcMar>
          </w:tcPr>
          <w:p w14:paraId="6C45AC15" w14:textId="77777777" w:rsidR="00AE634A" w:rsidRDefault="00B40EE4">
            <w:r>
              <w:rPr>
                <w:color w:val="000000"/>
              </w:rPr>
              <w:t>Nil</w:t>
            </w:r>
          </w:p>
        </w:tc>
        <w:tc>
          <w:tcPr>
            <w:tcW w:w="5700" w:type="dxa"/>
            <w:tcMar>
              <w:top w:w="80" w:type="dxa"/>
              <w:left w:w="110" w:type="dxa"/>
              <w:bottom w:w="80" w:type="dxa"/>
              <w:right w:w="110" w:type="dxa"/>
            </w:tcMar>
          </w:tcPr>
          <w:p w14:paraId="47E7A368" w14:textId="77777777" w:rsidR="00AE634A" w:rsidRDefault="00B40EE4">
            <w:r>
              <w:rPr>
                <w:color w:val="000000"/>
              </w:rPr>
              <w:t>The amount still owing under the earlier Contract at the Settlement Date, which the new Contract discharges. No Commission is payable on this component.</w:t>
            </w:r>
          </w:p>
        </w:tc>
      </w:tr>
    </w:tbl>
    <w:p w14:paraId="3FDE8DD1" w14:textId="2F910249" w:rsidR="00AE634A" w:rsidRDefault="00B40EE4">
      <w:pPr>
        <w:spacing w:before="220" w:after="80"/>
      </w:pPr>
      <w:r>
        <w:rPr>
          <w:b/>
          <w:bCs/>
          <w:color w:val="000000"/>
        </w:rPr>
        <w:t>Top Up</w:t>
      </w:r>
      <w:r w:rsidR="0004477A">
        <w:rPr>
          <w:b/>
          <w:bCs/>
          <w:color w:val="000000"/>
        </w:rPr>
        <w:t xml:space="preserve">, </w:t>
      </w:r>
      <w:r>
        <w:rPr>
          <w:b/>
          <w:bCs/>
          <w:color w:val="000000"/>
        </w:rPr>
        <w:t>LOC</w:t>
      </w:r>
    </w:p>
    <w:tbl>
      <w:tblPr>
        <w:tblW w:w="9900" w:type="dxa"/>
        <w:tblBorders>
          <w:top w:val="single" w:sz="4" w:space="0" w:color="C6DBD9"/>
          <w:left w:val="single" w:sz="4" w:space="0" w:color="C6DBD9"/>
          <w:bottom w:val="single" w:sz="4" w:space="0" w:color="C6DBD9"/>
          <w:right w:val="single" w:sz="4" w:space="0" w:color="C6DBD9"/>
          <w:insideH w:val="single" w:sz="4" w:space="0" w:color="C6DBD9"/>
          <w:insideV w:val="single" w:sz="4" w:space="0" w:color="C6DBD9"/>
        </w:tblBorders>
        <w:tblCellMar>
          <w:left w:w="10" w:type="dxa"/>
          <w:right w:w="10" w:type="dxa"/>
        </w:tblCellMar>
        <w:tblLook w:val="04A0" w:firstRow="1" w:lastRow="0" w:firstColumn="1" w:lastColumn="0" w:noHBand="0" w:noVBand="1"/>
      </w:tblPr>
      <w:tblGrid>
        <w:gridCol w:w="2900"/>
        <w:gridCol w:w="1300"/>
        <w:gridCol w:w="5700"/>
      </w:tblGrid>
      <w:tr w:rsidR="00AE634A" w14:paraId="4D4BA94A" w14:textId="77777777">
        <w:trPr>
          <w:tblHeader/>
        </w:trPr>
        <w:tc>
          <w:tcPr>
            <w:tcW w:w="2900" w:type="dxa"/>
            <w:shd w:val="clear" w:color="auto" w:fill="E8F8F7"/>
            <w:tcMar>
              <w:top w:w="80" w:type="dxa"/>
              <w:left w:w="110" w:type="dxa"/>
              <w:bottom w:w="80" w:type="dxa"/>
              <w:right w:w="110" w:type="dxa"/>
            </w:tcMar>
          </w:tcPr>
          <w:p w14:paraId="57F36104" w14:textId="77777777" w:rsidR="00AE634A" w:rsidRDefault="00B40EE4">
            <w:r>
              <w:rPr>
                <w:b/>
                <w:bCs/>
                <w:color w:val="00807C"/>
              </w:rPr>
              <w:t>Component</w:t>
            </w:r>
          </w:p>
        </w:tc>
        <w:tc>
          <w:tcPr>
            <w:tcW w:w="1300" w:type="dxa"/>
            <w:shd w:val="clear" w:color="auto" w:fill="E8F8F7"/>
            <w:tcMar>
              <w:top w:w="80" w:type="dxa"/>
              <w:left w:w="110" w:type="dxa"/>
              <w:bottom w:w="80" w:type="dxa"/>
              <w:right w:w="110" w:type="dxa"/>
            </w:tcMar>
          </w:tcPr>
          <w:p w14:paraId="2EDDCB58" w14:textId="77777777" w:rsidR="00AE634A" w:rsidRDefault="00B40EE4">
            <w:r>
              <w:rPr>
                <w:b/>
                <w:bCs/>
                <w:color w:val="00807C"/>
              </w:rPr>
              <w:t>Rate</w:t>
            </w:r>
          </w:p>
        </w:tc>
        <w:tc>
          <w:tcPr>
            <w:tcW w:w="5700" w:type="dxa"/>
            <w:shd w:val="clear" w:color="auto" w:fill="E8F8F7"/>
            <w:tcMar>
              <w:top w:w="80" w:type="dxa"/>
              <w:left w:w="110" w:type="dxa"/>
              <w:bottom w:w="80" w:type="dxa"/>
              <w:right w:w="110" w:type="dxa"/>
            </w:tcMar>
          </w:tcPr>
          <w:p w14:paraId="0DCEB03C" w14:textId="77777777" w:rsidR="00AE634A" w:rsidRDefault="00B40EE4">
            <w:r>
              <w:rPr>
                <w:b/>
                <w:bCs/>
                <w:color w:val="00807C"/>
              </w:rPr>
              <w:t>What it is</w:t>
            </w:r>
          </w:p>
        </w:tc>
      </w:tr>
      <w:tr w:rsidR="00AE634A" w14:paraId="49F02754" w14:textId="77777777">
        <w:tc>
          <w:tcPr>
            <w:tcW w:w="2900" w:type="dxa"/>
            <w:tcMar>
              <w:top w:w="80" w:type="dxa"/>
              <w:left w:w="110" w:type="dxa"/>
              <w:bottom w:w="80" w:type="dxa"/>
              <w:right w:w="110" w:type="dxa"/>
            </w:tcMar>
          </w:tcPr>
          <w:p w14:paraId="6AAA5E43" w14:textId="77777777" w:rsidR="00AE634A" w:rsidRDefault="00B40EE4">
            <w:r>
              <w:rPr>
                <w:b/>
                <w:bCs/>
                <w:color w:val="000000"/>
              </w:rPr>
              <w:t>Increase in limit</w:t>
            </w:r>
          </w:p>
        </w:tc>
        <w:tc>
          <w:tcPr>
            <w:tcW w:w="1300" w:type="dxa"/>
            <w:tcMar>
              <w:top w:w="80" w:type="dxa"/>
              <w:left w:w="110" w:type="dxa"/>
              <w:bottom w:w="80" w:type="dxa"/>
              <w:right w:w="110" w:type="dxa"/>
            </w:tcMar>
          </w:tcPr>
          <w:p w14:paraId="24EF1D23" w14:textId="77777777" w:rsidR="00AE634A" w:rsidRDefault="00B40EE4">
            <w:r>
              <w:rPr>
                <w:color w:val="000000"/>
              </w:rPr>
              <w:t>6%</w:t>
            </w:r>
          </w:p>
        </w:tc>
        <w:tc>
          <w:tcPr>
            <w:tcW w:w="5700" w:type="dxa"/>
            <w:tcMar>
              <w:top w:w="80" w:type="dxa"/>
              <w:left w:w="110" w:type="dxa"/>
              <w:bottom w:w="80" w:type="dxa"/>
              <w:right w:w="110" w:type="dxa"/>
            </w:tcMar>
          </w:tcPr>
          <w:p w14:paraId="043D97AB" w14:textId="77777777" w:rsidR="00AE634A" w:rsidRDefault="00B40EE4">
            <w:r>
              <w:rPr>
                <w:color w:val="000000"/>
              </w:rPr>
              <w:t>The approved facility limit of the increased LOC less the approved facility limit immediately before the increase.</w:t>
            </w:r>
          </w:p>
        </w:tc>
      </w:tr>
      <w:tr w:rsidR="00AE634A" w14:paraId="14D84DD1" w14:textId="77777777">
        <w:tc>
          <w:tcPr>
            <w:tcW w:w="2900" w:type="dxa"/>
            <w:tcMar>
              <w:top w:w="80" w:type="dxa"/>
              <w:left w:w="110" w:type="dxa"/>
              <w:bottom w:w="80" w:type="dxa"/>
              <w:right w:w="110" w:type="dxa"/>
            </w:tcMar>
          </w:tcPr>
          <w:p w14:paraId="1D21A1CD" w14:textId="77777777" w:rsidR="00AE634A" w:rsidRDefault="00B40EE4">
            <w:r>
              <w:rPr>
                <w:b/>
                <w:bCs/>
                <w:color w:val="000000"/>
              </w:rPr>
              <w:t>Existing limit</w:t>
            </w:r>
          </w:p>
        </w:tc>
        <w:tc>
          <w:tcPr>
            <w:tcW w:w="1300" w:type="dxa"/>
            <w:tcMar>
              <w:top w:w="80" w:type="dxa"/>
              <w:left w:w="110" w:type="dxa"/>
              <w:bottom w:w="80" w:type="dxa"/>
              <w:right w:w="110" w:type="dxa"/>
            </w:tcMar>
          </w:tcPr>
          <w:p w14:paraId="2E48F89C" w14:textId="77777777" w:rsidR="00AE634A" w:rsidRDefault="00B40EE4">
            <w:r>
              <w:rPr>
                <w:color w:val="000000"/>
              </w:rPr>
              <w:t>Nil</w:t>
            </w:r>
          </w:p>
        </w:tc>
        <w:tc>
          <w:tcPr>
            <w:tcW w:w="5700" w:type="dxa"/>
            <w:tcMar>
              <w:top w:w="80" w:type="dxa"/>
              <w:left w:w="110" w:type="dxa"/>
              <w:bottom w:w="80" w:type="dxa"/>
              <w:right w:w="110" w:type="dxa"/>
            </w:tcMar>
          </w:tcPr>
          <w:p w14:paraId="407648EC" w14:textId="77777777" w:rsidR="00AE634A" w:rsidRDefault="00B40EE4">
            <w:r>
              <w:rPr>
                <w:color w:val="000000"/>
              </w:rPr>
              <w:t>The approved facility limit already in place. No Commission is payable on this component.</w:t>
            </w:r>
          </w:p>
        </w:tc>
      </w:tr>
    </w:tbl>
    <w:p w14:paraId="492E1AB9" w14:textId="77777777" w:rsidR="00AE634A" w:rsidRDefault="00B40EE4">
      <w:pPr>
        <w:spacing w:before="100" w:after="120"/>
      </w:pPr>
      <w:r>
        <w:rPr>
          <w:i/>
          <w:iCs/>
          <w:color w:val="5E6B6A"/>
        </w:rPr>
        <w:t>A Line of Credit is a revolving facility, so redraw is a normal feature of the product rather than a re-advance. Commission on a LOC Top Up is therefore payable on the increase in the approved limit only, and no Commission is payable when an Identified Merchant redraws within an existing limit.</w:t>
      </w:r>
    </w:p>
    <w:p w14:paraId="08C41635" w14:textId="77777777" w:rsidR="00AE634A" w:rsidRDefault="00B40EE4">
      <w:pPr>
        <w:spacing w:before="240" w:after="80"/>
      </w:pPr>
      <w:r>
        <w:rPr>
          <w:b/>
          <w:bCs/>
          <w:color w:val="000000"/>
        </w:rPr>
        <w:t>Worked example, MCA Top Up</w:t>
      </w:r>
    </w:p>
    <w:p w14:paraId="6594B16A" w14:textId="77777777" w:rsidR="00AE634A" w:rsidRDefault="00B40EE4">
      <w:pPr>
        <w:spacing w:after="120"/>
      </w:pPr>
      <w:r>
        <w:rPr>
          <w:color w:val="000000"/>
        </w:rPr>
        <w:t>An Identified Merchant holds an MCA with a Purchased Amount of $100,000 and has repaid $40,000, leaving $60,000 owing. They top up to a new Contract with a Purchased Amount of $150,000.</w:t>
      </w:r>
    </w:p>
    <w:tbl>
      <w:tblPr>
        <w:tblW w:w="9900" w:type="dxa"/>
        <w:tblBorders>
          <w:top w:val="single" w:sz="4" w:space="0" w:color="C6DBD9"/>
          <w:left w:val="single" w:sz="4" w:space="0" w:color="C6DBD9"/>
          <w:bottom w:val="single" w:sz="4" w:space="0" w:color="C6DBD9"/>
          <w:right w:val="single" w:sz="4" w:space="0" w:color="C6DBD9"/>
          <w:insideH w:val="single" w:sz="4" w:space="0" w:color="C6DBD9"/>
          <w:insideV w:val="single" w:sz="4" w:space="0" w:color="C6DBD9"/>
        </w:tblBorders>
        <w:tblCellMar>
          <w:left w:w="10" w:type="dxa"/>
          <w:right w:w="10" w:type="dxa"/>
        </w:tblCellMar>
        <w:tblLook w:val="04A0" w:firstRow="1" w:lastRow="0" w:firstColumn="1" w:lastColumn="0" w:noHBand="0" w:noVBand="1"/>
      </w:tblPr>
      <w:tblGrid>
        <w:gridCol w:w="2900"/>
        <w:gridCol w:w="2100"/>
        <w:gridCol w:w="1400"/>
        <w:gridCol w:w="3500"/>
      </w:tblGrid>
      <w:tr w:rsidR="00AE634A" w14:paraId="13DD29CB" w14:textId="77777777">
        <w:trPr>
          <w:tblHeader/>
        </w:trPr>
        <w:tc>
          <w:tcPr>
            <w:tcW w:w="2900" w:type="dxa"/>
            <w:shd w:val="clear" w:color="auto" w:fill="E8F8F7"/>
            <w:tcMar>
              <w:top w:w="80" w:type="dxa"/>
              <w:left w:w="110" w:type="dxa"/>
              <w:bottom w:w="80" w:type="dxa"/>
              <w:right w:w="110" w:type="dxa"/>
            </w:tcMar>
          </w:tcPr>
          <w:p w14:paraId="14671843" w14:textId="77777777" w:rsidR="00AE634A" w:rsidRDefault="00B40EE4">
            <w:r>
              <w:rPr>
                <w:b/>
                <w:bCs/>
                <w:color w:val="00807C"/>
              </w:rPr>
              <w:lastRenderedPageBreak/>
              <w:t>Component</w:t>
            </w:r>
          </w:p>
        </w:tc>
        <w:tc>
          <w:tcPr>
            <w:tcW w:w="2100" w:type="dxa"/>
            <w:shd w:val="clear" w:color="auto" w:fill="E8F8F7"/>
            <w:tcMar>
              <w:top w:w="80" w:type="dxa"/>
              <w:left w:w="110" w:type="dxa"/>
              <w:bottom w:w="80" w:type="dxa"/>
              <w:right w:w="110" w:type="dxa"/>
            </w:tcMar>
          </w:tcPr>
          <w:p w14:paraId="521A7344" w14:textId="77777777" w:rsidR="00AE634A" w:rsidRDefault="00B40EE4">
            <w:r>
              <w:rPr>
                <w:b/>
                <w:bCs/>
                <w:color w:val="00807C"/>
              </w:rPr>
              <w:t>Amount</w:t>
            </w:r>
          </w:p>
        </w:tc>
        <w:tc>
          <w:tcPr>
            <w:tcW w:w="1400" w:type="dxa"/>
            <w:shd w:val="clear" w:color="auto" w:fill="E8F8F7"/>
            <w:tcMar>
              <w:top w:w="80" w:type="dxa"/>
              <w:left w:w="110" w:type="dxa"/>
              <w:bottom w:w="80" w:type="dxa"/>
              <w:right w:w="110" w:type="dxa"/>
            </w:tcMar>
          </w:tcPr>
          <w:p w14:paraId="5BC4E8FE" w14:textId="77777777" w:rsidR="00AE634A" w:rsidRDefault="00B40EE4">
            <w:r>
              <w:rPr>
                <w:b/>
                <w:bCs/>
                <w:color w:val="00807C"/>
              </w:rPr>
              <w:t>Rate</w:t>
            </w:r>
          </w:p>
        </w:tc>
        <w:tc>
          <w:tcPr>
            <w:tcW w:w="3500" w:type="dxa"/>
            <w:shd w:val="clear" w:color="auto" w:fill="E8F8F7"/>
            <w:tcMar>
              <w:top w:w="80" w:type="dxa"/>
              <w:left w:w="110" w:type="dxa"/>
              <w:bottom w:w="80" w:type="dxa"/>
              <w:right w:w="110" w:type="dxa"/>
            </w:tcMar>
          </w:tcPr>
          <w:p w14:paraId="2C2B4AB1" w14:textId="77777777" w:rsidR="00AE634A" w:rsidRDefault="00B40EE4">
            <w:r>
              <w:rPr>
                <w:b/>
                <w:bCs/>
                <w:color w:val="00807C"/>
              </w:rPr>
              <w:t>Commission</w:t>
            </w:r>
          </w:p>
        </w:tc>
      </w:tr>
      <w:tr w:rsidR="00AE634A" w14:paraId="6C69AFBD" w14:textId="77777777">
        <w:tc>
          <w:tcPr>
            <w:tcW w:w="2900" w:type="dxa"/>
            <w:tcMar>
              <w:top w:w="80" w:type="dxa"/>
              <w:left w:w="110" w:type="dxa"/>
              <w:bottom w:w="80" w:type="dxa"/>
              <w:right w:w="110" w:type="dxa"/>
            </w:tcMar>
          </w:tcPr>
          <w:p w14:paraId="2698FAC8" w14:textId="77777777" w:rsidR="00AE634A" w:rsidRDefault="00B40EE4">
            <w:r>
              <w:rPr>
                <w:b/>
                <w:bCs/>
                <w:color w:val="000000"/>
              </w:rPr>
              <w:t>New Money Portion</w:t>
            </w:r>
          </w:p>
        </w:tc>
        <w:tc>
          <w:tcPr>
            <w:tcW w:w="2100" w:type="dxa"/>
            <w:tcMar>
              <w:top w:w="80" w:type="dxa"/>
              <w:left w:w="110" w:type="dxa"/>
              <w:bottom w:w="80" w:type="dxa"/>
              <w:right w:w="110" w:type="dxa"/>
            </w:tcMar>
          </w:tcPr>
          <w:p w14:paraId="55D9A0AC" w14:textId="77777777" w:rsidR="00AE634A" w:rsidRDefault="00B40EE4">
            <w:r>
              <w:rPr>
                <w:color w:val="000000"/>
              </w:rPr>
              <w:t>$50,000</w:t>
            </w:r>
          </w:p>
        </w:tc>
        <w:tc>
          <w:tcPr>
            <w:tcW w:w="1400" w:type="dxa"/>
            <w:tcMar>
              <w:top w:w="80" w:type="dxa"/>
              <w:left w:w="110" w:type="dxa"/>
              <w:bottom w:w="80" w:type="dxa"/>
              <w:right w:w="110" w:type="dxa"/>
            </w:tcMar>
          </w:tcPr>
          <w:p w14:paraId="18F5D468" w14:textId="77777777" w:rsidR="00AE634A" w:rsidRDefault="00B40EE4">
            <w:r>
              <w:rPr>
                <w:color w:val="000000"/>
              </w:rPr>
              <w:t>6%</w:t>
            </w:r>
          </w:p>
        </w:tc>
        <w:tc>
          <w:tcPr>
            <w:tcW w:w="3500" w:type="dxa"/>
            <w:tcMar>
              <w:top w:w="80" w:type="dxa"/>
              <w:left w:w="110" w:type="dxa"/>
              <w:bottom w:w="80" w:type="dxa"/>
              <w:right w:w="110" w:type="dxa"/>
            </w:tcMar>
          </w:tcPr>
          <w:p w14:paraId="29E25F2B" w14:textId="77777777" w:rsidR="00AE634A" w:rsidRDefault="00B40EE4">
            <w:r>
              <w:rPr>
                <w:color w:val="000000"/>
              </w:rPr>
              <w:t>$3,000</w:t>
            </w:r>
          </w:p>
        </w:tc>
      </w:tr>
      <w:tr w:rsidR="00AE634A" w14:paraId="455B989B" w14:textId="77777777">
        <w:tc>
          <w:tcPr>
            <w:tcW w:w="2900" w:type="dxa"/>
            <w:tcMar>
              <w:top w:w="80" w:type="dxa"/>
              <w:left w:w="110" w:type="dxa"/>
              <w:bottom w:w="80" w:type="dxa"/>
              <w:right w:w="110" w:type="dxa"/>
            </w:tcMar>
          </w:tcPr>
          <w:p w14:paraId="2D87CB90" w14:textId="77777777" w:rsidR="00AE634A" w:rsidRDefault="00B40EE4">
            <w:r>
              <w:rPr>
                <w:b/>
                <w:bCs/>
                <w:color w:val="000000"/>
              </w:rPr>
              <w:t>Repaid Portion</w:t>
            </w:r>
          </w:p>
        </w:tc>
        <w:tc>
          <w:tcPr>
            <w:tcW w:w="2100" w:type="dxa"/>
            <w:tcMar>
              <w:top w:w="80" w:type="dxa"/>
              <w:left w:w="110" w:type="dxa"/>
              <w:bottom w:w="80" w:type="dxa"/>
              <w:right w:w="110" w:type="dxa"/>
            </w:tcMar>
          </w:tcPr>
          <w:p w14:paraId="4D992E5A" w14:textId="77777777" w:rsidR="00AE634A" w:rsidRDefault="00B40EE4">
            <w:r>
              <w:rPr>
                <w:color w:val="000000"/>
              </w:rPr>
              <w:t>$40,000</w:t>
            </w:r>
          </w:p>
        </w:tc>
        <w:tc>
          <w:tcPr>
            <w:tcW w:w="1400" w:type="dxa"/>
            <w:tcMar>
              <w:top w:w="80" w:type="dxa"/>
              <w:left w:w="110" w:type="dxa"/>
              <w:bottom w:w="80" w:type="dxa"/>
              <w:right w:w="110" w:type="dxa"/>
            </w:tcMar>
          </w:tcPr>
          <w:p w14:paraId="089400C6" w14:textId="77777777" w:rsidR="00AE634A" w:rsidRDefault="00B40EE4">
            <w:r>
              <w:rPr>
                <w:color w:val="000000"/>
              </w:rPr>
              <w:t>2%</w:t>
            </w:r>
          </w:p>
        </w:tc>
        <w:tc>
          <w:tcPr>
            <w:tcW w:w="3500" w:type="dxa"/>
            <w:tcMar>
              <w:top w:w="80" w:type="dxa"/>
              <w:left w:w="110" w:type="dxa"/>
              <w:bottom w:w="80" w:type="dxa"/>
              <w:right w:w="110" w:type="dxa"/>
            </w:tcMar>
          </w:tcPr>
          <w:p w14:paraId="30EE69BF" w14:textId="77777777" w:rsidR="00AE634A" w:rsidRDefault="00B40EE4">
            <w:r>
              <w:rPr>
                <w:color w:val="000000"/>
              </w:rPr>
              <w:t>$800</w:t>
            </w:r>
          </w:p>
        </w:tc>
      </w:tr>
      <w:tr w:rsidR="00AE634A" w14:paraId="6AD66EB7" w14:textId="77777777">
        <w:tc>
          <w:tcPr>
            <w:tcW w:w="2900" w:type="dxa"/>
            <w:tcMar>
              <w:top w:w="80" w:type="dxa"/>
              <w:left w:w="110" w:type="dxa"/>
              <w:bottom w:w="80" w:type="dxa"/>
              <w:right w:w="110" w:type="dxa"/>
            </w:tcMar>
          </w:tcPr>
          <w:p w14:paraId="65FA5271" w14:textId="77777777" w:rsidR="00AE634A" w:rsidRDefault="00B40EE4">
            <w:r>
              <w:rPr>
                <w:b/>
                <w:bCs/>
                <w:color w:val="000000"/>
              </w:rPr>
              <w:t>Outstanding Balance</w:t>
            </w:r>
          </w:p>
        </w:tc>
        <w:tc>
          <w:tcPr>
            <w:tcW w:w="2100" w:type="dxa"/>
            <w:tcMar>
              <w:top w:w="80" w:type="dxa"/>
              <w:left w:w="110" w:type="dxa"/>
              <w:bottom w:w="80" w:type="dxa"/>
              <w:right w:w="110" w:type="dxa"/>
            </w:tcMar>
          </w:tcPr>
          <w:p w14:paraId="4F39949D" w14:textId="77777777" w:rsidR="00AE634A" w:rsidRDefault="00B40EE4">
            <w:r>
              <w:rPr>
                <w:color w:val="000000"/>
              </w:rPr>
              <w:t>$60,000</w:t>
            </w:r>
          </w:p>
        </w:tc>
        <w:tc>
          <w:tcPr>
            <w:tcW w:w="1400" w:type="dxa"/>
            <w:tcMar>
              <w:top w:w="80" w:type="dxa"/>
              <w:left w:w="110" w:type="dxa"/>
              <w:bottom w:w="80" w:type="dxa"/>
              <w:right w:w="110" w:type="dxa"/>
            </w:tcMar>
          </w:tcPr>
          <w:p w14:paraId="6F072386" w14:textId="77777777" w:rsidR="00AE634A" w:rsidRDefault="00B40EE4">
            <w:r>
              <w:rPr>
                <w:color w:val="000000"/>
              </w:rPr>
              <w:t>Nil</w:t>
            </w:r>
          </w:p>
        </w:tc>
        <w:tc>
          <w:tcPr>
            <w:tcW w:w="3500" w:type="dxa"/>
            <w:tcMar>
              <w:top w:w="80" w:type="dxa"/>
              <w:left w:w="110" w:type="dxa"/>
              <w:bottom w:w="80" w:type="dxa"/>
              <w:right w:w="110" w:type="dxa"/>
            </w:tcMar>
          </w:tcPr>
          <w:p w14:paraId="7FEAB95F" w14:textId="77777777" w:rsidR="00AE634A" w:rsidRDefault="00B40EE4">
            <w:r>
              <w:rPr>
                <w:color w:val="000000"/>
              </w:rPr>
              <w:t>$0</w:t>
            </w:r>
          </w:p>
        </w:tc>
      </w:tr>
      <w:tr w:rsidR="00AE634A" w14:paraId="3CBA52BD" w14:textId="77777777">
        <w:tc>
          <w:tcPr>
            <w:tcW w:w="2900" w:type="dxa"/>
            <w:tcMar>
              <w:top w:w="80" w:type="dxa"/>
              <w:left w:w="110" w:type="dxa"/>
              <w:bottom w:w="80" w:type="dxa"/>
              <w:right w:w="110" w:type="dxa"/>
            </w:tcMar>
          </w:tcPr>
          <w:p w14:paraId="3F625067" w14:textId="77777777" w:rsidR="00AE634A" w:rsidRDefault="00B40EE4">
            <w:r>
              <w:rPr>
                <w:b/>
                <w:bCs/>
                <w:color w:val="000000"/>
              </w:rPr>
              <w:t>Total</w:t>
            </w:r>
          </w:p>
        </w:tc>
        <w:tc>
          <w:tcPr>
            <w:tcW w:w="2100" w:type="dxa"/>
            <w:tcMar>
              <w:top w:w="80" w:type="dxa"/>
              <w:left w:w="110" w:type="dxa"/>
              <w:bottom w:w="80" w:type="dxa"/>
              <w:right w:w="110" w:type="dxa"/>
            </w:tcMar>
          </w:tcPr>
          <w:p w14:paraId="39B344E1" w14:textId="77777777" w:rsidR="00AE634A" w:rsidRDefault="00B40EE4">
            <w:r>
              <w:rPr>
                <w:color w:val="000000"/>
              </w:rPr>
              <w:t>$150,000</w:t>
            </w:r>
          </w:p>
        </w:tc>
        <w:tc>
          <w:tcPr>
            <w:tcW w:w="1400" w:type="dxa"/>
            <w:tcMar>
              <w:top w:w="80" w:type="dxa"/>
              <w:left w:w="110" w:type="dxa"/>
              <w:bottom w:w="80" w:type="dxa"/>
              <w:right w:w="110" w:type="dxa"/>
            </w:tcMar>
          </w:tcPr>
          <w:p w14:paraId="2D662DD4" w14:textId="77777777" w:rsidR="00AE634A" w:rsidRDefault="00AE634A"/>
        </w:tc>
        <w:tc>
          <w:tcPr>
            <w:tcW w:w="3500" w:type="dxa"/>
            <w:tcMar>
              <w:top w:w="80" w:type="dxa"/>
              <w:left w:w="110" w:type="dxa"/>
              <w:bottom w:w="80" w:type="dxa"/>
              <w:right w:w="110" w:type="dxa"/>
            </w:tcMar>
          </w:tcPr>
          <w:p w14:paraId="43F8D96F" w14:textId="77777777" w:rsidR="00AE634A" w:rsidRDefault="00B40EE4">
            <w:r>
              <w:rPr>
                <w:color w:val="000000"/>
              </w:rPr>
              <w:t>$3,800 plus GST</w:t>
            </w:r>
          </w:p>
        </w:tc>
      </w:tr>
    </w:tbl>
    <w:p w14:paraId="5304E737" w14:textId="77777777" w:rsidR="00AE634A" w:rsidRDefault="00B40EE4">
      <w:pPr>
        <w:spacing w:before="90" w:after="120"/>
      </w:pPr>
      <w:r>
        <w:rPr>
          <w:i/>
          <w:iCs/>
          <w:color w:val="5E6B6A"/>
        </w:rPr>
        <w:t>The three components reconcile to the $150,000 Purchased Amount of the new Contract.</w:t>
      </w:r>
    </w:p>
    <w:p w14:paraId="7E26F88D" w14:textId="77777777" w:rsidR="00AE634A" w:rsidRDefault="00B40EE4">
      <w:pPr>
        <w:spacing w:before="240" w:after="80"/>
      </w:pPr>
      <w:r>
        <w:rPr>
          <w:b/>
          <w:bCs/>
          <w:color w:val="000000"/>
        </w:rPr>
        <w:t>How the two transaction types work</w:t>
      </w:r>
    </w:p>
    <w:p w14:paraId="381A35AE" w14:textId="77777777" w:rsidR="00AE634A" w:rsidRDefault="00B40EE4">
      <w:pPr>
        <w:spacing w:after="80"/>
        <w:ind w:left="400" w:hanging="220"/>
      </w:pPr>
      <w:r>
        <w:rPr>
          <w:color w:val="000000"/>
        </w:rPr>
        <w:t>–</w:t>
      </w:r>
      <w:r>
        <w:rPr>
          <w:color w:val="000000"/>
        </w:rPr>
        <w:tab/>
        <w:t>New Money is a Contract with an Identified Merchant that is not a Top Up. This includes a first Contract, and a fresh Contract entered into after an earlier Contract has been fully repaid and closed.</w:t>
      </w:r>
    </w:p>
    <w:p w14:paraId="608A22CF" w14:textId="5FADD37D" w:rsidR="00AE634A" w:rsidRDefault="00B40EE4">
      <w:pPr>
        <w:spacing w:after="80"/>
        <w:ind w:left="400" w:hanging="220"/>
      </w:pPr>
      <w:r>
        <w:rPr>
          <w:color w:val="000000"/>
        </w:rPr>
        <w:t>–</w:t>
      </w:r>
      <w:r>
        <w:rPr>
          <w:color w:val="000000"/>
        </w:rPr>
        <w:tab/>
        <w:t>Top Up is a Contract that replaces or supplements an existing BiiGGA Contract, where part of the new Contract is applied to discharge the outstanding balance of the existing one.</w:t>
      </w:r>
    </w:p>
    <w:p w14:paraId="2E664DCB" w14:textId="77777777" w:rsidR="00AE634A" w:rsidRDefault="00B40EE4">
      <w:pPr>
        <w:spacing w:after="80"/>
        <w:ind w:left="400" w:hanging="220"/>
      </w:pPr>
      <w:r>
        <w:rPr>
          <w:color w:val="000000"/>
        </w:rPr>
        <w:t>–</w:t>
      </w:r>
      <w:r>
        <w:rPr>
          <w:color w:val="000000"/>
        </w:rPr>
        <w:tab/>
        <w:t>Commission on New Money is calculated on the Funded Amount, which excludes origination fees and amounts applied to pay out a third party financier.</w:t>
      </w:r>
    </w:p>
    <w:p w14:paraId="25C3427C" w14:textId="77777777" w:rsidR="00AE634A" w:rsidRDefault="00B40EE4">
      <w:pPr>
        <w:spacing w:after="80"/>
        <w:ind w:left="400" w:hanging="220"/>
        <w:rPr>
          <w:color w:val="000000"/>
        </w:rPr>
      </w:pPr>
      <w:r>
        <w:rPr>
          <w:color w:val="000000"/>
        </w:rPr>
        <w:t>–</w:t>
      </w:r>
      <w:r>
        <w:rPr>
          <w:color w:val="000000"/>
        </w:rPr>
        <w:tab/>
        <w:t>Where the Purchased Amount of a Top Up is equal to or less than the Purchased Amount of the earlier Contract, the New Money Portion is nil and Commission is payable on the Repaid Portion only.</w:t>
      </w:r>
    </w:p>
    <w:p w14:paraId="4A699206" w14:textId="77777777" w:rsidR="00A31383" w:rsidRPr="00A31383" w:rsidRDefault="00A31383" w:rsidP="00A31383">
      <w:pPr>
        <w:spacing w:after="80"/>
        <w:ind w:left="400" w:hanging="220"/>
      </w:pPr>
      <w:r w:rsidRPr="00A31383">
        <w:rPr>
          <w:b/>
          <w:bCs/>
        </w:rPr>
        <w:t>Clarifying notes:</w:t>
      </w:r>
    </w:p>
    <w:p w14:paraId="13971B7A" w14:textId="77777777" w:rsidR="00A31383" w:rsidRDefault="00A31383" w:rsidP="00A31383">
      <w:pPr>
        <w:pStyle w:val="ListParagraph"/>
        <w:numPr>
          <w:ilvl w:val="0"/>
          <w:numId w:val="2"/>
        </w:numPr>
        <w:spacing w:after="80"/>
      </w:pPr>
      <w:r w:rsidRPr="00A31383">
        <w:rPr>
          <w:b/>
          <w:bCs/>
        </w:rPr>
        <w:t>Zero New Money Portion:</w:t>
      </w:r>
      <w:r w:rsidRPr="00A31383">
        <w:t xml:space="preserve"> Where the Purchased Amount of the new Contract is equal to or less than the Purchased Amount of the earlier Contract, the New Money Portion is nil and Commission is payable on the Repaid Portion only.</w:t>
      </w:r>
    </w:p>
    <w:p w14:paraId="233694DD" w14:textId="77777777" w:rsidR="00A31383" w:rsidRDefault="00A31383" w:rsidP="00A31383">
      <w:pPr>
        <w:pStyle w:val="ListParagraph"/>
        <w:numPr>
          <w:ilvl w:val="0"/>
          <w:numId w:val="2"/>
        </w:numPr>
        <w:spacing w:after="80"/>
      </w:pPr>
      <w:r w:rsidRPr="00A31383">
        <w:rPr>
          <w:b/>
          <w:bCs/>
        </w:rPr>
        <w:t>Refinance after full repayment:</w:t>
      </w:r>
      <w:r w:rsidRPr="00A31383">
        <w:t xml:space="preserve"> A Contract entered into after a prior BiiGGA Contract with the same Identified Merchant has been fully repaid and closed </w:t>
      </w:r>
      <w:r>
        <w:t>(</w:t>
      </w:r>
      <w:r w:rsidRPr="00A31383">
        <w:t>with no Outstanding Balance at the Settlement Date of the new Contract</w:t>
      </w:r>
      <w:r>
        <w:t>)</w:t>
      </w:r>
      <w:r w:rsidRPr="00A31383">
        <w:t xml:space="preserve"> is treated as New Money, not a Top Up.</w:t>
      </w:r>
    </w:p>
    <w:p w14:paraId="08C70435" w14:textId="42F1B8FC" w:rsidR="00A31383" w:rsidRDefault="00A31383" w:rsidP="00E053BB">
      <w:pPr>
        <w:pStyle w:val="ListParagraph"/>
        <w:numPr>
          <w:ilvl w:val="0"/>
          <w:numId w:val="2"/>
        </w:numPr>
        <w:spacing w:after="80"/>
      </w:pPr>
      <w:r w:rsidRPr="00A31383">
        <w:rPr>
          <w:b/>
          <w:bCs/>
        </w:rPr>
        <w:t>Cross-product top-ups:</w:t>
      </w:r>
      <w:r w:rsidRPr="00A31383">
        <w:t xml:space="preserve"> Where a merchant transitions from one product type to another (for example, from an MCA to a BTA) as part of a Top Up transaction, the Top Up commission structure applies to the MCA or BTA component. Where a new LOC is established alongside the discharge of an MCA or BTA in the same transaction, the New Money and Repaid Portion rules apply to the MCA or BTA discharge, and the LOC New Money rate applies to the new LOC limit. Any uncertainty in a specific transaction should be resolved by reference to BiiGGA’s written confirmation prior to settlement.</w:t>
      </w:r>
    </w:p>
    <w:p w14:paraId="4EDA4B70" w14:textId="77777777" w:rsidR="00AE634A" w:rsidRDefault="00B40EE4">
      <w:pPr>
        <w:keepNext/>
        <w:spacing w:before="300" w:after="130"/>
        <w:ind w:left="420" w:hanging="420"/>
      </w:pPr>
      <w:r>
        <w:rPr>
          <w:b/>
          <w:bCs/>
          <w:color w:val="00807C"/>
          <w:sz w:val="22"/>
          <w:szCs w:val="22"/>
        </w:rPr>
        <w:t>2.</w:t>
      </w:r>
      <w:r>
        <w:rPr>
          <w:b/>
          <w:bCs/>
          <w:color w:val="00807C"/>
          <w:sz w:val="22"/>
          <w:szCs w:val="22"/>
        </w:rPr>
        <w:tab/>
        <w:t>Payment terms</w:t>
      </w:r>
    </w:p>
    <w:tbl>
      <w:tblPr>
        <w:tblW w:w="9900" w:type="dxa"/>
        <w:tblBorders>
          <w:top w:val="single" w:sz="4" w:space="0" w:color="C6DBD9"/>
          <w:left w:val="single" w:sz="4" w:space="0" w:color="C6DBD9"/>
          <w:bottom w:val="single" w:sz="4" w:space="0" w:color="C6DBD9"/>
          <w:right w:val="single" w:sz="4" w:space="0" w:color="C6DBD9"/>
          <w:insideH w:val="single" w:sz="4" w:space="0" w:color="C6DBD9"/>
          <w:insideV w:val="single" w:sz="4" w:space="0" w:color="C6DBD9"/>
        </w:tblBorders>
        <w:tblCellMar>
          <w:left w:w="10" w:type="dxa"/>
          <w:right w:w="10" w:type="dxa"/>
        </w:tblCellMar>
        <w:tblLook w:val="04A0" w:firstRow="1" w:lastRow="0" w:firstColumn="1" w:lastColumn="0" w:noHBand="0" w:noVBand="1"/>
      </w:tblPr>
      <w:tblGrid>
        <w:gridCol w:w="2750"/>
        <w:gridCol w:w="7150"/>
      </w:tblGrid>
      <w:tr w:rsidR="00AE634A" w14:paraId="0954805A" w14:textId="77777777">
        <w:trPr>
          <w:tblHeader/>
        </w:trPr>
        <w:tc>
          <w:tcPr>
            <w:tcW w:w="2750" w:type="dxa"/>
            <w:shd w:val="clear" w:color="auto" w:fill="E8F8F7"/>
            <w:tcMar>
              <w:top w:w="80" w:type="dxa"/>
              <w:left w:w="110" w:type="dxa"/>
              <w:bottom w:w="80" w:type="dxa"/>
              <w:right w:w="110" w:type="dxa"/>
            </w:tcMar>
          </w:tcPr>
          <w:p w14:paraId="278CF0F7" w14:textId="77777777" w:rsidR="00AE634A" w:rsidRDefault="00B40EE4">
            <w:r>
              <w:rPr>
                <w:b/>
                <w:bCs/>
                <w:color w:val="00807C"/>
              </w:rPr>
              <w:t>Item</w:t>
            </w:r>
          </w:p>
        </w:tc>
        <w:tc>
          <w:tcPr>
            <w:tcW w:w="7150" w:type="dxa"/>
            <w:shd w:val="clear" w:color="auto" w:fill="E8F8F7"/>
            <w:tcMar>
              <w:top w:w="80" w:type="dxa"/>
              <w:left w:w="110" w:type="dxa"/>
              <w:bottom w:w="80" w:type="dxa"/>
              <w:right w:w="110" w:type="dxa"/>
            </w:tcMar>
          </w:tcPr>
          <w:p w14:paraId="6504EF12" w14:textId="77777777" w:rsidR="00AE634A" w:rsidRDefault="00B40EE4">
            <w:r>
              <w:rPr>
                <w:b/>
                <w:bCs/>
                <w:color w:val="00807C"/>
              </w:rPr>
              <w:t>Terms</w:t>
            </w:r>
          </w:p>
        </w:tc>
      </w:tr>
      <w:tr w:rsidR="00AE634A" w14:paraId="4373B9B6" w14:textId="77777777">
        <w:tc>
          <w:tcPr>
            <w:tcW w:w="2750" w:type="dxa"/>
            <w:tcMar>
              <w:top w:w="80" w:type="dxa"/>
              <w:left w:w="110" w:type="dxa"/>
              <w:bottom w:w="80" w:type="dxa"/>
              <w:right w:w="110" w:type="dxa"/>
            </w:tcMar>
          </w:tcPr>
          <w:p w14:paraId="09CCA503" w14:textId="77777777" w:rsidR="00AE634A" w:rsidRDefault="00B40EE4">
            <w:r>
              <w:rPr>
                <w:b/>
                <w:bCs/>
                <w:color w:val="000000"/>
              </w:rPr>
              <w:t>Payment frequency</w:t>
            </w:r>
          </w:p>
        </w:tc>
        <w:tc>
          <w:tcPr>
            <w:tcW w:w="7150" w:type="dxa"/>
            <w:tcMar>
              <w:top w:w="80" w:type="dxa"/>
              <w:left w:w="110" w:type="dxa"/>
              <w:bottom w:w="80" w:type="dxa"/>
              <w:right w:w="110" w:type="dxa"/>
            </w:tcMar>
          </w:tcPr>
          <w:p w14:paraId="0AE30CEE" w14:textId="77777777" w:rsidR="00AE634A" w:rsidRDefault="00B40EE4">
            <w:r>
              <w:rPr>
                <w:color w:val="000000"/>
              </w:rPr>
              <w:t>Commission is paid monthly in arrears in respect of Contracts that reached their Settlement Date in the previous calendar month.</w:t>
            </w:r>
          </w:p>
        </w:tc>
      </w:tr>
      <w:tr w:rsidR="00AE634A" w14:paraId="079E6CAF" w14:textId="77777777">
        <w:tc>
          <w:tcPr>
            <w:tcW w:w="2750" w:type="dxa"/>
            <w:tcMar>
              <w:top w:w="80" w:type="dxa"/>
              <w:left w:w="110" w:type="dxa"/>
              <w:bottom w:w="80" w:type="dxa"/>
              <w:right w:w="110" w:type="dxa"/>
            </w:tcMar>
          </w:tcPr>
          <w:p w14:paraId="49A85E3F" w14:textId="77777777" w:rsidR="00AE634A" w:rsidRDefault="00B40EE4">
            <w:r>
              <w:rPr>
                <w:b/>
                <w:bCs/>
                <w:color w:val="000000"/>
              </w:rPr>
              <w:t>Conditions to payment</w:t>
            </w:r>
          </w:p>
        </w:tc>
        <w:tc>
          <w:tcPr>
            <w:tcW w:w="7150" w:type="dxa"/>
            <w:tcMar>
              <w:top w:w="80" w:type="dxa"/>
              <w:left w:w="110" w:type="dxa"/>
              <w:bottom w:w="80" w:type="dxa"/>
              <w:right w:w="110" w:type="dxa"/>
            </w:tcMar>
          </w:tcPr>
          <w:p w14:paraId="5B347CA3" w14:textId="6CE9E4C3" w:rsidR="00AE634A" w:rsidRDefault="007966AE">
            <w:r>
              <w:rPr>
                <w:color w:val="000000"/>
              </w:rPr>
              <w:t>T</w:t>
            </w:r>
            <w:r w:rsidR="00B40EE4">
              <w:rPr>
                <w:color w:val="000000"/>
              </w:rPr>
              <w:t>he Identified Merchant has executed a Contract with BiiGGA, and BiiGGA has paid the purchase consideration or established the facility</w:t>
            </w:r>
            <w:r>
              <w:rPr>
                <w:color w:val="000000"/>
              </w:rPr>
              <w:t xml:space="preserve"> </w:t>
            </w:r>
            <w:r w:rsidRPr="007966AE">
              <w:rPr>
                <w:color w:val="000000"/>
              </w:rPr>
              <w:t>and you are not in material breach of the Partner Terms in respect of a matter that has not been remedied within ten (10) Business Days of written notice from BiiGGA specifying the breach</w:t>
            </w:r>
            <w:r w:rsidR="00B40EE4">
              <w:rPr>
                <w:color w:val="000000"/>
              </w:rPr>
              <w:t>. See clause 2.5 of the Partner Terms.</w:t>
            </w:r>
          </w:p>
        </w:tc>
      </w:tr>
      <w:tr w:rsidR="00AE634A" w14:paraId="31A4F039" w14:textId="77777777">
        <w:tc>
          <w:tcPr>
            <w:tcW w:w="2750" w:type="dxa"/>
            <w:tcMar>
              <w:top w:w="80" w:type="dxa"/>
              <w:left w:w="110" w:type="dxa"/>
              <w:bottom w:w="80" w:type="dxa"/>
              <w:right w:w="110" w:type="dxa"/>
            </w:tcMar>
          </w:tcPr>
          <w:p w14:paraId="63BC2587" w14:textId="77777777" w:rsidR="00AE634A" w:rsidRDefault="00B40EE4">
            <w:r>
              <w:rPr>
                <w:b/>
                <w:bCs/>
                <w:color w:val="000000"/>
              </w:rPr>
              <w:t>Payment destination</w:t>
            </w:r>
          </w:p>
        </w:tc>
        <w:tc>
          <w:tcPr>
            <w:tcW w:w="7150" w:type="dxa"/>
            <w:tcMar>
              <w:top w:w="80" w:type="dxa"/>
              <w:left w:w="110" w:type="dxa"/>
              <w:bottom w:w="80" w:type="dxa"/>
              <w:right w:w="110" w:type="dxa"/>
            </w:tcMar>
          </w:tcPr>
          <w:p w14:paraId="43F88F79" w14:textId="77777777" w:rsidR="00AE634A" w:rsidRDefault="00B40EE4">
            <w:r>
              <w:rPr>
                <w:color w:val="000000"/>
              </w:rPr>
              <w:t>The bank account nominated at accreditation, or as updated by you in writing. You may direct payment to your Aggregator Group. Payment to the Aggregator Group at your direction fully discharges BiiGGA’s obligation to pay you. See clause 2.10 of the Partner Terms.</w:t>
            </w:r>
          </w:p>
        </w:tc>
      </w:tr>
      <w:tr w:rsidR="00AE634A" w14:paraId="49C33970" w14:textId="77777777">
        <w:tc>
          <w:tcPr>
            <w:tcW w:w="2750" w:type="dxa"/>
            <w:tcMar>
              <w:top w:w="80" w:type="dxa"/>
              <w:left w:w="110" w:type="dxa"/>
              <w:bottom w:w="80" w:type="dxa"/>
              <w:right w:w="110" w:type="dxa"/>
            </w:tcMar>
          </w:tcPr>
          <w:p w14:paraId="1FA07754" w14:textId="77777777" w:rsidR="00AE634A" w:rsidRDefault="00B40EE4">
            <w:r>
              <w:rPr>
                <w:b/>
                <w:bCs/>
                <w:color w:val="000000"/>
              </w:rPr>
              <w:t>Bank verification</w:t>
            </w:r>
          </w:p>
        </w:tc>
        <w:tc>
          <w:tcPr>
            <w:tcW w:w="7150" w:type="dxa"/>
            <w:tcMar>
              <w:top w:w="80" w:type="dxa"/>
              <w:left w:w="110" w:type="dxa"/>
              <w:bottom w:w="80" w:type="dxa"/>
              <w:right w:w="110" w:type="dxa"/>
            </w:tcMar>
          </w:tcPr>
          <w:p w14:paraId="6A0E82F7" w14:textId="77777777" w:rsidR="00AE634A" w:rsidRDefault="00B40EE4">
            <w:r>
              <w:rPr>
                <w:color w:val="000000"/>
              </w:rPr>
              <w:t>BiiGGA is not obliged to make any Commission payment until it has received a bank confirmation letter from your financial institution, or a bank statement confirming the account details with transaction details removed.</w:t>
            </w:r>
          </w:p>
        </w:tc>
      </w:tr>
      <w:tr w:rsidR="00AE634A" w14:paraId="497A5D1A" w14:textId="77777777">
        <w:tc>
          <w:tcPr>
            <w:tcW w:w="2750" w:type="dxa"/>
            <w:tcMar>
              <w:top w:w="80" w:type="dxa"/>
              <w:left w:w="110" w:type="dxa"/>
              <w:bottom w:w="80" w:type="dxa"/>
              <w:right w:w="110" w:type="dxa"/>
            </w:tcMar>
          </w:tcPr>
          <w:p w14:paraId="617F5341" w14:textId="77777777" w:rsidR="00AE634A" w:rsidRDefault="00B40EE4">
            <w:r>
              <w:rPr>
                <w:b/>
                <w:bCs/>
                <w:color w:val="000000"/>
              </w:rPr>
              <w:t>GST and invoicing</w:t>
            </w:r>
          </w:p>
        </w:tc>
        <w:tc>
          <w:tcPr>
            <w:tcW w:w="7150" w:type="dxa"/>
            <w:tcMar>
              <w:top w:w="80" w:type="dxa"/>
              <w:left w:w="110" w:type="dxa"/>
              <w:bottom w:w="80" w:type="dxa"/>
              <w:right w:w="110" w:type="dxa"/>
            </w:tcMar>
          </w:tcPr>
          <w:p w14:paraId="6CA9CF15" w14:textId="77777777" w:rsidR="00AE634A" w:rsidRDefault="00B40EE4">
            <w:r>
              <w:rPr>
                <w:color w:val="000000"/>
              </w:rPr>
              <w:t>Rates are exclusive of GST. You must be, and remain, registered for GST. On request, BiiGGA issues a recipient created tax invoice at or around the time Commission is paid. See clause 2.11 of the Partner Terms.</w:t>
            </w:r>
          </w:p>
        </w:tc>
      </w:tr>
      <w:tr w:rsidR="00AE634A" w14:paraId="4A843B78" w14:textId="77777777">
        <w:tc>
          <w:tcPr>
            <w:tcW w:w="2750" w:type="dxa"/>
            <w:tcMar>
              <w:top w:w="80" w:type="dxa"/>
              <w:left w:w="110" w:type="dxa"/>
              <w:bottom w:w="80" w:type="dxa"/>
              <w:right w:w="110" w:type="dxa"/>
            </w:tcMar>
          </w:tcPr>
          <w:p w14:paraId="76528DAD" w14:textId="77777777" w:rsidR="00AE634A" w:rsidRDefault="00B40EE4">
            <w:r>
              <w:rPr>
                <w:b/>
                <w:bCs/>
                <w:color w:val="000000"/>
              </w:rPr>
              <w:t>On termination</w:t>
            </w:r>
          </w:p>
        </w:tc>
        <w:tc>
          <w:tcPr>
            <w:tcW w:w="7150" w:type="dxa"/>
            <w:tcMar>
              <w:top w:w="80" w:type="dxa"/>
              <w:left w:w="110" w:type="dxa"/>
              <w:bottom w:w="80" w:type="dxa"/>
              <w:right w:w="110" w:type="dxa"/>
            </w:tcMar>
          </w:tcPr>
          <w:p w14:paraId="581220E1" w14:textId="77777777" w:rsidR="00AE634A" w:rsidRDefault="00B40EE4">
            <w:r>
              <w:rPr>
                <w:color w:val="000000"/>
              </w:rPr>
              <w:t xml:space="preserve">Accrued but unpaid Commission on Contracts that settled and met the payment conditions before termination is paid within sixty (60) days of termination, subject to </w:t>
            </w:r>
            <w:r>
              <w:rPr>
                <w:color w:val="000000"/>
              </w:rPr>
              <w:lastRenderedPageBreak/>
              <w:t>clawback. Commission on a Top Up that settles within one (1) month after termination remains payable. See clause 2.9 of the Partner Terms.</w:t>
            </w:r>
          </w:p>
        </w:tc>
      </w:tr>
    </w:tbl>
    <w:p w14:paraId="4DEA3B5E" w14:textId="77777777" w:rsidR="00AE634A" w:rsidRDefault="00B40EE4">
      <w:pPr>
        <w:keepNext/>
        <w:spacing w:before="300" w:after="130"/>
        <w:ind w:left="420" w:hanging="420"/>
      </w:pPr>
      <w:r>
        <w:rPr>
          <w:b/>
          <w:bCs/>
          <w:color w:val="00807C"/>
          <w:sz w:val="22"/>
          <w:szCs w:val="22"/>
        </w:rPr>
        <w:lastRenderedPageBreak/>
        <w:t>3.</w:t>
      </w:r>
      <w:r>
        <w:rPr>
          <w:b/>
          <w:bCs/>
          <w:color w:val="00807C"/>
          <w:sz w:val="22"/>
          <w:szCs w:val="22"/>
        </w:rPr>
        <w:tab/>
        <w:t>Clawback summary</w:t>
      </w:r>
    </w:p>
    <w:tbl>
      <w:tblPr>
        <w:tblW w:w="9900" w:type="dxa"/>
        <w:tblBorders>
          <w:top w:val="single" w:sz="4" w:space="0" w:color="C6DBD9"/>
          <w:left w:val="single" w:sz="4" w:space="0" w:color="C6DBD9"/>
          <w:bottom w:val="single" w:sz="4" w:space="0" w:color="C6DBD9"/>
          <w:right w:val="single" w:sz="4" w:space="0" w:color="C6DBD9"/>
          <w:insideH w:val="single" w:sz="4" w:space="0" w:color="C6DBD9"/>
          <w:insideV w:val="single" w:sz="4" w:space="0" w:color="C6DBD9"/>
        </w:tblBorders>
        <w:tblCellMar>
          <w:left w:w="10" w:type="dxa"/>
          <w:right w:w="10" w:type="dxa"/>
        </w:tblCellMar>
        <w:tblLook w:val="04A0" w:firstRow="1" w:lastRow="0" w:firstColumn="1" w:lastColumn="0" w:noHBand="0" w:noVBand="1"/>
      </w:tblPr>
      <w:tblGrid>
        <w:gridCol w:w="2750"/>
        <w:gridCol w:w="7150"/>
      </w:tblGrid>
      <w:tr w:rsidR="00AE634A" w14:paraId="6DA2613B" w14:textId="77777777">
        <w:trPr>
          <w:tblHeader/>
        </w:trPr>
        <w:tc>
          <w:tcPr>
            <w:tcW w:w="2750" w:type="dxa"/>
            <w:shd w:val="clear" w:color="auto" w:fill="E8F8F7"/>
            <w:tcMar>
              <w:top w:w="80" w:type="dxa"/>
              <w:left w:w="110" w:type="dxa"/>
              <w:bottom w:w="80" w:type="dxa"/>
              <w:right w:w="110" w:type="dxa"/>
            </w:tcMar>
          </w:tcPr>
          <w:p w14:paraId="2DF457A5" w14:textId="77777777" w:rsidR="00AE634A" w:rsidRDefault="00B40EE4">
            <w:r>
              <w:rPr>
                <w:b/>
                <w:bCs/>
                <w:color w:val="00807C"/>
              </w:rPr>
              <w:t>Item</w:t>
            </w:r>
          </w:p>
        </w:tc>
        <w:tc>
          <w:tcPr>
            <w:tcW w:w="7150" w:type="dxa"/>
            <w:shd w:val="clear" w:color="auto" w:fill="E8F8F7"/>
            <w:tcMar>
              <w:top w:w="80" w:type="dxa"/>
              <w:left w:w="110" w:type="dxa"/>
              <w:bottom w:w="80" w:type="dxa"/>
              <w:right w:w="110" w:type="dxa"/>
            </w:tcMar>
          </w:tcPr>
          <w:p w14:paraId="11D32E42" w14:textId="77777777" w:rsidR="00AE634A" w:rsidRDefault="00B40EE4">
            <w:r>
              <w:rPr>
                <w:b/>
                <w:bCs/>
                <w:color w:val="00807C"/>
              </w:rPr>
              <w:t>Terms</w:t>
            </w:r>
          </w:p>
        </w:tc>
      </w:tr>
      <w:tr w:rsidR="00AE634A" w14:paraId="742FD422" w14:textId="77777777">
        <w:tc>
          <w:tcPr>
            <w:tcW w:w="2750" w:type="dxa"/>
            <w:tcMar>
              <w:top w:w="80" w:type="dxa"/>
              <w:left w:w="110" w:type="dxa"/>
              <w:bottom w:w="80" w:type="dxa"/>
              <w:right w:w="110" w:type="dxa"/>
            </w:tcMar>
          </w:tcPr>
          <w:p w14:paraId="09790AAD" w14:textId="77777777" w:rsidR="00AE634A" w:rsidRDefault="00B40EE4">
            <w:r>
              <w:rPr>
                <w:b/>
                <w:bCs/>
                <w:color w:val="000000"/>
              </w:rPr>
              <w:t>Arrears trigger</w:t>
            </w:r>
          </w:p>
        </w:tc>
        <w:tc>
          <w:tcPr>
            <w:tcW w:w="7150" w:type="dxa"/>
            <w:tcMar>
              <w:top w:w="80" w:type="dxa"/>
              <w:left w:w="110" w:type="dxa"/>
              <w:bottom w:w="80" w:type="dxa"/>
              <w:right w:w="110" w:type="dxa"/>
            </w:tcMar>
          </w:tcPr>
          <w:p w14:paraId="039B343E" w14:textId="6136D009" w:rsidR="00AE634A" w:rsidRDefault="00B40EE4">
            <w:r>
              <w:rPr>
                <w:color w:val="000000"/>
              </w:rPr>
              <w:t xml:space="preserve">If the Identified Merchant’s account is in Arrears at any time within thirty (30) days of the </w:t>
            </w:r>
            <w:r w:rsidRPr="007966AE">
              <w:rPr>
                <w:color w:val="000000"/>
              </w:rPr>
              <w:t xml:space="preserve">Settlement Date, </w:t>
            </w:r>
            <w:r w:rsidR="007966AE" w:rsidRPr="00E053BB">
              <w:rPr>
                <w:color w:val="000000"/>
              </w:rPr>
              <w:t>and the Arrears remain outstanding for more than three (3) Business Days,</w:t>
            </w:r>
            <w:r w:rsidR="007966AE">
              <w:rPr>
                <w:b/>
                <w:bCs/>
                <w:color w:val="000000"/>
              </w:rPr>
              <w:t xml:space="preserve"> </w:t>
            </w:r>
            <w:r>
              <w:rPr>
                <w:color w:val="000000"/>
              </w:rPr>
              <w:t>the Commission on that Contract is repayable in full.</w:t>
            </w:r>
          </w:p>
        </w:tc>
      </w:tr>
      <w:tr w:rsidR="00AE634A" w14:paraId="67898FF5" w14:textId="77777777">
        <w:tc>
          <w:tcPr>
            <w:tcW w:w="2750" w:type="dxa"/>
            <w:tcMar>
              <w:top w:w="80" w:type="dxa"/>
              <w:left w:w="110" w:type="dxa"/>
              <w:bottom w:w="80" w:type="dxa"/>
              <w:right w:w="110" w:type="dxa"/>
            </w:tcMar>
          </w:tcPr>
          <w:p w14:paraId="69EA2398" w14:textId="77777777" w:rsidR="00AE634A" w:rsidRDefault="00B40EE4">
            <w:r>
              <w:rPr>
                <w:b/>
                <w:bCs/>
                <w:color w:val="000000"/>
              </w:rPr>
              <w:t>Fraud trigger</w:t>
            </w:r>
          </w:p>
        </w:tc>
        <w:tc>
          <w:tcPr>
            <w:tcW w:w="7150" w:type="dxa"/>
            <w:tcMar>
              <w:top w:w="80" w:type="dxa"/>
              <w:left w:w="110" w:type="dxa"/>
              <w:bottom w:w="80" w:type="dxa"/>
              <w:right w:w="110" w:type="dxa"/>
            </w:tcMar>
          </w:tcPr>
          <w:p w14:paraId="5664792D" w14:textId="77777777" w:rsidR="00AE634A" w:rsidRDefault="00B40EE4">
            <w:r>
              <w:rPr>
                <w:color w:val="000000"/>
              </w:rPr>
              <w:t>Commission is repayable at any time where the referral involved misleading or fraudulent information, or where your accreditation is terminated for a breach relating to that Contract.</w:t>
            </w:r>
          </w:p>
        </w:tc>
      </w:tr>
      <w:tr w:rsidR="00AE634A" w14:paraId="6AC2150A" w14:textId="77777777">
        <w:tc>
          <w:tcPr>
            <w:tcW w:w="2750" w:type="dxa"/>
            <w:tcMar>
              <w:top w:w="80" w:type="dxa"/>
              <w:left w:w="110" w:type="dxa"/>
              <w:bottom w:w="80" w:type="dxa"/>
              <w:right w:w="110" w:type="dxa"/>
            </w:tcMar>
          </w:tcPr>
          <w:p w14:paraId="23649754" w14:textId="77777777" w:rsidR="00AE634A" w:rsidRDefault="00B40EE4">
            <w:r>
              <w:rPr>
                <w:b/>
                <w:bCs/>
                <w:color w:val="000000"/>
              </w:rPr>
              <w:t>Recovery</w:t>
            </w:r>
          </w:p>
        </w:tc>
        <w:tc>
          <w:tcPr>
            <w:tcW w:w="7150" w:type="dxa"/>
            <w:tcMar>
              <w:top w:w="80" w:type="dxa"/>
              <w:left w:w="110" w:type="dxa"/>
              <w:bottom w:w="80" w:type="dxa"/>
              <w:right w:w="110" w:type="dxa"/>
            </w:tcMar>
          </w:tcPr>
          <w:p w14:paraId="650E2584" w14:textId="77777777" w:rsidR="00AE634A" w:rsidRDefault="00B40EE4">
            <w:r>
              <w:rPr>
                <w:color w:val="000000"/>
              </w:rPr>
              <w:t>The Clawback Amount is deducted from future Commission payments until it has been recovered in full.</w:t>
            </w:r>
          </w:p>
        </w:tc>
      </w:tr>
      <w:tr w:rsidR="00AE634A" w14:paraId="6EE897A5" w14:textId="77777777">
        <w:tc>
          <w:tcPr>
            <w:tcW w:w="2750" w:type="dxa"/>
            <w:tcMar>
              <w:top w:w="80" w:type="dxa"/>
              <w:left w:w="110" w:type="dxa"/>
              <w:bottom w:w="80" w:type="dxa"/>
              <w:right w:w="110" w:type="dxa"/>
            </w:tcMar>
          </w:tcPr>
          <w:p w14:paraId="32AE038A" w14:textId="77777777" w:rsidR="00AE634A" w:rsidRDefault="00B40EE4">
            <w:r>
              <w:rPr>
                <w:b/>
                <w:bCs/>
                <w:color w:val="000000"/>
              </w:rPr>
              <w:t>Invoicing</w:t>
            </w:r>
          </w:p>
        </w:tc>
        <w:tc>
          <w:tcPr>
            <w:tcW w:w="7150" w:type="dxa"/>
            <w:tcMar>
              <w:top w:w="80" w:type="dxa"/>
              <w:left w:w="110" w:type="dxa"/>
              <w:bottom w:w="80" w:type="dxa"/>
              <w:right w:w="110" w:type="dxa"/>
            </w:tcMar>
          </w:tcPr>
          <w:p w14:paraId="58CA95FB" w14:textId="77777777" w:rsidR="00AE634A" w:rsidRDefault="00B40EE4">
            <w:r>
              <w:rPr>
                <w:color w:val="000000"/>
              </w:rPr>
              <w:t>If the Clawback Amount is not fully recovered by deduction within thirty (30) days of the clawback notice, BiiGGA issues a tax invoice for the balance, payable within fourteen (14) days of the invoice date.</w:t>
            </w:r>
          </w:p>
        </w:tc>
      </w:tr>
      <w:tr w:rsidR="00AE634A" w14:paraId="3BF432A6" w14:textId="77777777">
        <w:tc>
          <w:tcPr>
            <w:tcW w:w="2750" w:type="dxa"/>
            <w:tcMar>
              <w:top w:w="80" w:type="dxa"/>
              <w:left w:w="110" w:type="dxa"/>
              <w:bottom w:w="80" w:type="dxa"/>
              <w:right w:w="110" w:type="dxa"/>
            </w:tcMar>
          </w:tcPr>
          <w:p w14:paraId="6C0E907F" w14:textId="77777777" w:rsidR="00AE634A" w:rsidRDefault="00B40EE4">
            <w:r>
              <w:rPr>
                <w:b/>
                <w:bCs/>
                <w:color w:val="000000"/>
              </w:rPr>
              <w:t>Further commission</w:t>
            </w:r>
          </w:p>
        </w:tc>
        <w:tc>
          <w:tcPr>
            <w:tcW w:w="7150" w:type="dxa"/>
            <w:tcMar>
              <w:top w:w="80" w:type="dxa"/>
              <w:left w:w="110" w:type="dxa"/>
              <w:bottom w:w="80" w:type="dxa"/>
              <w:right w:w="110" w:type="dxa"/>
            </w:tcMar>
          </w:tcPr>
          <w:p w14:paraId="05CA4636" w14:textId="77777777" w:rsidR="00AE634A" w:rsidRDefault="00B40EE4">
            <w:r>
              <w:rPr>
                <w:color w:val="000000"/>
              </w:rPr>
              <w:t>No further Commission is payable on a Contract to which a Clawback Amount relates.</w:t>
            </w:r>
          </w:p>
        </w:tc>
      </w:tr>
    </w:tbl>
    <w:p w14:paraId="2247EA84" w14:textId="77777777" w:rsidR="00AE634A" w:rsidRDefault="00B40EE4">
      <w:pPr>
        <w:spacing w:before="100" w:after="120"/>
      </w:pPr>
      <w:r>
        <w:rPr>
          <w:i/>
          <w:iCs/>
          <w:color w:val="5E6B6A"/>
        </w:rPr>
        <w:t>This is a summary provided for convenience. Clauses 2.7 and 2.8 of the Partner Terms prevail to the extent of any inconsistency.</w:t>
      </w:r>
    </w:p>
    <w:p w14:paraId="3BFC861F" w14:textId="77777777" w:rsidR="00AE634A" w:rsidRDefault="00B40EE4">
      <w:pPr>
        <w:keepNext/>
        <w:spacing w:before="300" w:after="130"/>
        <w:ind w:left="420" w:hanging="420"/>
      </w:pPr>
      <w:r>
        <w:rPr>
          <w:b/>
          <w:bCs/>
          <w:color w:val="00807C"/>
          <w:sz w:val="22"/>
          <w:szCs w:val="22"/>
        </w:rPr>
        <w:t>4.</w:t>
      </w:r>
      <w:r>
        <w:rPr>
          <w:b/>
          <w:bCs/>
          <w:color w:val="00807C"/>
          <w:sz w:val="22"/>
          <w:szCs w:val="22"/>
        </w:rPr>
        <w:tab/>
        <w:t>Arrangements outside this schedule</w:t>
      </w:r>
    </w:p>
    <w:p w14:paraId="61B227A1" w14:textId="77777777" w:rsidR="00AE634A" w:rsidRDefault="00B40EE4">
      <w:pPr>
        <w:pBdr>
          <w:left w:val="single" w:sz="18" w:space="8" w:color="00807C"/>
        </w:pBdr>
        <w:shd w:val="clear" w:color="auto" w:fill="FFFBE8"/>
        <w:spacing w:before="60" w:after="140"/>
        <w:ind w:left="160" w:right="160"/>
      </w:pPr>
      <w:r>
        <w:rPr>
          <w:color w:val="000000"/>
        </w:rPr>
        <w:t>Aggregator arrangements and volume based incentives are not set out in this Commission Payment Schedule. Where BiiGGA has a separate written arrangement with an Aggregator Group, or a volume based incentive or campaign agreement with you, that arrangement is documented separately, sits outside this schedule and prevails over it to the extent of any inconsistency. A volume based incentive or campaign rate applies in place of, not in addition to, the rates in section 1.</w:t>
      </w:r>
    </w:p>
    <w:p w14:paraId="0AA73990" w14:textId="77777777" w:rsidR="00AE634A" w:rsidRDefault="00B40EE4">
      <w:pPr>
        <w:keepNext/>
        <w:spacing w:before="300" w:after="130"/>
        <w:ind w:left="420" w:hanging="420"/>
      </w:pPr>
      <w:r>
        <w:rPr>
          <w:b/>
          <w:bCs/>
          <w:color w:val="00807C"/>
          <w:sz w:val="22"/>
          <w:szCs w:val="22"/>
        </w:rPr>
        <w:t>5.</w:t>
      </w:r>
      <w:r>
        <w:rPr>
          <w:b/>
          <w:bCs/>
          <w:color w:val="00807C"/>
          <w:sz w:val="22"/>
          <w:szCs w:val="22"/>
        </w:rPr>
        <w:tab/>
        <w:t>Definitions used in this schedule</w:t>
      </w:r>
    </w:p>
    <w:p w14:paraId="4C57F645" w14:textId="0ACD7101" w:rsidR="00AE634A" w:rsidRDefault="00B40EE4">
      <w:pPr>
        <w:spacing w:after="120"/>
      </w:pPr>
      <w:r>
        <w:rPr>
          <w:color w:val="000000"/>
        </w:rPr>
        <w:t xml:space="preserve">These definitions sit alongside those in </w:t>
      </w:r>
      <w:r w:rsidR="00F92D03">
        <w:rPr>
          <w:color w:val="000000"/>
        </w:rPr>
        <w:t xml:space="preserve">clause </w:t>
      </w:r>
      <w:r>
        <w:rPr>
          <w:color w:val="000000"/>
        </w:rPr>
        <w:t>1</w:t>
      </w:r>
      <w:r w:rsidR="00F92D03">
        <w:rPr>
          <w:color w:val="000000"/>
        </w:rPr>
        <w:t>8</w:t>
      </w:r>
      <w:r>
        <w:rPr>
          <w:color w:val="000000"/>
        </w:rPr>
        <w:t xml:space="preserve"> of the Partner Terms.</w:t>
      </w:r>
    </w:p>
    <w:p w14:paraId="658F8E4E" w14:textId="1B748290" w:rsidR="00AE634A" w:rsidRDefault="00B40EE4">
      <w:pPr>
        <w:spacing w:after="120"/>
      </w:pPr>
      <w:r>
        <w:rPr>
          <w:b/>
          <w:bCs/>
          <w:color w:val="000000"/>
        </w:rPr>
        <w:t>Arrears</w:t>
      </w:r>
      <w:r>
        <w:rPr>
          <w:color w:val="000000"/>
        </w:rPr>
        <w:t xml:space="preserve"> means a scheduled repayment under a Contract that is not received on its due date and remains unpaid</w:t>
      </w:r>
      <w:r w:rsidR="00B54093" w:rsidRPr="00B54093">
        <w:rPr>
          <w:color w:val="000000"/>
        </w:rPr>
        <w:t xml:space="preserve"> </w:t>
      </w:r>
      <w:r w:rsidR="00B54093" w:rsidRPr="00E053BB">
        <w:rPr>
          <w:color w:val="000000"/>
        </w:rPr>
        <w:t>for more than three (3) Business Days after its due date</w:t>
      </w:r>
      <w:r w:rsidRPr="00B54093">
        <w:rPr>
          <w:color w:val="000000"/>
        </w:rPr>
        <w:t>.</w:t>
      </w:r>
    </w:p>
    <w:p w14:paraId="4F532CFD" w14:textId="77777777" w:rsidR="00AE634A" w:rsidRDefault="00B40EE4">
      <w:pPr>
        <w:spacing w:after="120"/>
      </w:pPr>
      <w:r>
        <w:rPr>
          <w:b/>
          <w:bCs/>
          <w:color w:val="000000"/>
        </w:rPr>
        <w:t>Clawback Amount</w:t>
      </w:r>
      <w:r>
        <w:rPr>
          <w:color w:val="000000"/>
        </w:rPr>
        <w:t xml:space="preserve"> means Commission that has become repayable to BiiGGA under section 3 of this schedule and clause 2.7 of the Partner Terms.</w:t>
      </w:r>
    </w:p>
    <w:p w14:paraId="44F1B9E8" w14:textId="77777777" w:rsidR="00AE634A" w:rsidRDefault="00B40EE4">
      <w:pPr>
        <w:spacing w:after="120"/>
      </w:pPr>
      <w:r>
        <w:rPr>
          <w:b/>
          <w:bCs/>
          <w:color w:val="000000"/>
        </w:rPr>
        <w:t>Funded Amount</w:t>
      </w:r>
      <w:r>
        <w:rPr>
          <w:color w:val="000000"/>
        </w:rPr>
        <w:t xml:space="preserve"> means the amount disbursed to the Identified Merchant’s nominated bank account under a Contract, excluding any origination fee owed to BiiGGA and any amount applied to pay out a third party financier.</w:t>
      </w:r>
    </w:p>
    <w:p w14:paraId="0875C483" w14:textId="77777777" w:rsidR="00AE634A" w:rsidRDefault="00B40EE4">
      <w:pPr>
        <w:spacing w:after="120"/>
      </w:pPr>
      <w:r>
        <w:rPr>
          <w:b/>
          <w:bCs/>
          <w:color w:val="000000"/>
        </w:rPr>
        <w:t>New Money</w:t>
      </w:r>
      <w:r>
        <w:rPr>
          <w:color w:val="000000"/>
        </w:rPr>
        <w:t xml:space="preserve"> means a Contract with an Identified Merchant that is not a Top Up.</w:t>
      </w:r>
    </w:p>
    <w:p w14:paraId="29009727" w14:textId="77777777" w:rsidR="00AE634A" w:rsidRDefault="00B40EE4">
      <w:pPr>
        <w:spacing w:after="120"/>
      </w:pPr>
      <w:r>
        <w:rPr>
          <w:b/>
          <w:bCs/>
          <w:color w:val="000000"/>
        </w:rPr>
        <w:t>Settlement Date</w:t>
      </w:r>
      <w:r>
        <w:rPr>
          <w:color w:val="000000"/>
        </w:rPr>
        <w:t xml:space="preserve"> means the date on which BiiGGA pays the purchase consideration to the Identified Merchant, or establishes the facility, under a Contract.</w:t>
      </w:r>
    </w:p>
    <w:p w14:paraId="16B38A8A" w14:textId="6C05C742" w:rsidR="00AE634A" w:rsidRDefault="00B40EE4">
      <w:pPr>
        <w:spacing w:after="120"/>
      </w:pPr>
      <w:r>
        <w:rPr>
          <w:b/>
          <w:bCs/>
          <w:color w:val="000000"/>
        </w:rPr>
        <w:t xml:space="preserve">Top Up </w:t>
      </w:r>
      <w:r>
        <w:rPr>
          <w:color w:val="000000"/>
        </w:rPr>
        <w:t>means a Contract that replaces or supplements an existing BiiGGA Contract with the same Identified Merchant, where part of the new Contract is applied to discharge the outstanding balance of the existing Contract. For a LOC it means an increase in the approved facility limit.</w:t>
      </w:r>
    </w:p>
    <w:p w14:paraId="00D67BAC" w14:textId="77777777" w:rsidR="00AE634A" w:rsidRDefault="00B40EE4">
      <w:pPr>
        <w:spacing w:after="120"/>
      </w:pPr>
      <w:r>
        <w:rPr>
          <w:b/>
          <w:bCs/>
          <w:color w:val="000000"/>
        </w:rPr>
        <w:t>New Money Portion</w:t>
      </w:r>
      <w:r>
        <w:rPr>
          <w:color w:val="000000"/>
        </w:rPr>
        <w:t xml:space="preserve"> means, for a Top Up, the Purchased Amount of the new Contract less the Purchased Amount of the earlier Contract, and is nil where that figure would otherwise be negative. For a LOC Top Up it means the increase in the approved facility limit.</w:t>
      </w:r>
    </w:p>
    <w:p w14:paraId="3F53170D" w14:textId="77777777" w:rsidR="00AE634A" w:rsidRDefault="00B40EE4">
      <w:pPr>
        <w:spacing w:after="120"/>
      </w:pPr>
      <w:r>
        <w:rPr>
          <w:b/>
          <w:bCs/>
          <w:color w:val="000000"/>
        </w:rPr>
        <w:t>Outstanding Balance</w:t>
      </w:r>
      <w:r>
        <w:rPr>
          <w:color w:val="000000"/>
        </w:rPr>
        <w:t xml:space="preserve"> means the amount still owing by the Identified Merchant under the earlier Contract at the Settlement Date of the Top Up.</w:t>
      </w:r>
    </w:p>
    <w:p w14:paraId="71A835F2" w14:textId="77777777" w:rsidR="00AE634A" w:rsidRDefault="00B40EE4">
      <w:pPr>
        <w:spacing w:after="120"/>
      </w:pPr>
      <w:r>
        <w:rPr>
          <w:b/>
          <w:bCs/>
          <w:color w:val="000000"/>
        </w:rPr>
        <w:t>Repaid Portion</w:t>
      </w:r>
      <w:r>
        <w:rPr>
          <w:color w:val="000000"/>
        </w:rPr>
        <w:t xml:space="preserve"> means, for a Top Up, the Purchased Amount of the new Contract less the Outstanding Balance less the New Money Portion. It represents the part of the earlier facility already repaid and now drawn again. There is no Repaid Portion on a LOC Top Up.</w:t>
      </w:r>
    </w:p>
    <w:p w14:paraId="5D2A839E" w14:textId="77777777" w:rsidR="00AE634A" w:rsidRDefault="00B40EE4">
      <w:pPr>
        <w:keepNext/>
        <w:spacing w:before="300" w:after="130"/>
        <w:ind w:left="420" w:hanging="420"/>
      </w:pPr>
      <w:r>
        <w:rPr>
          <w:b/>
          <w:bCs/>
          <w:color w:val="00807C"/>
          <w:sz w:val="22"/>
          <w:szCs w:val="22"/>
        </w:rPr>
        <w:lastRenderedPageBreak/>
        <w:t>6.</w:t>
      </w:r>
      <w:r>
        <w:rPr>
          <w:b/>
          <w:bCs/>
          <w:color w:val="00807C"/>
          <w:sz w:val="22"/>
          <w:szCs w:val="22"/>
        </w:rPr>
        <w:tab/>
        <w:t>Version control</w:t>
      </w:r>
    </w:p>
    <w:tbl>
      <w:tblPr>
        <w:tblW w:w="9900" w:type="dxa"/>
        <w:tblBorders>
          <w:top w:val="single" w:sz="4" w:space="0" w:color="C6DBD9"/>
          <w:left w:val="single" w:sz="4" w:space="0" w:color="C6DBD9"/>
          <w:bottom w:val="single" w:sz="4" w:space="0" w:color="C6DBD9"/>
          <w:right w:val="single" w:sz="4" w:space="0" w:color="C6DBD9"/>
          <w:insideH w:val="single" w:sz="4" w:space="0" w:color="C6DBD9"/>
          <w:insideV w:val="single" w:sz="4" w:space="0" w:color="C6DBD9"/>
        </w:tblBorders>
        <w:tblCellMar>
          <w:left w:w="10" w:type="dxa"/>
          <w:right w:w="10" w:type="dxa"/>
        </w:tblCellMar>
        <w:tblLook w:val="04A0" w:firstRow="1" w:lastRow="0" w:firstColumn="1" w:lastColumn="0" w:noHBand="0" w:noVBand="1"/>
      </w:tblPr>
      <w:tblGrid>
        <w:gridCol w:w="1250"/>
        <w:gridCol w:w="1850"/>
        <w:gridCol w:w="6800"/>
      </w:tblGrid>
      <w:tr w:rsidR="00AE634A" w14:paraId="4D158B03" w14:textId="77777777">
        <w:trPr>
          <w:tblHeader/>
        </w:trPr>
        <w:tc>
          <w:tcPr>
            <w:tcW w:w="1250" w:type="dxa"/>
            <w:shd w:val="clear" w:color="auto" w:fill="E8F8F7"/>
            <w:tcMar>
              <w:top w:w="80" w:type="dxa"/>
              <w:left w:w="110" w:type="dxa"/>
              <w:bottom w:w="80" w:type="dxa"/>
              <w:right w:w="110" w:type="dxa"/>
            </w:tcMar>
          </w:tcPr>
          <w:p w14:paraId="4308243B" w14:textId="77777777" w:rsidR="00AE634A" w:rsidRDefault="00B40EE4">
            <w:r>
              <w:rPr>
                <w:b/>
                <w:bCs/>
                <w:color w:val="00807C"/>
              </w:rPr>
              <w:t>Version</w:t>
            </w:r>
          </w:p>
        </w:tc>
        <w:tc>
          <w:tcPr>
            <w:tcW w:w="1850" w:type="dxa"/>
            <w:shd w:val="clear" w:color="auto" w:fill="E8F8F7"/>
            <w:tcMar>
              <w:top w:w="80" w:type="dxa"/>
              <w:left w:w="110" w:type="dxa"/>
              <w:bottom w:w="80" w:type="dxa"/>
              <w:right w:w="110" w:type="dxa"/>
            </w:tcMar>
          </w:tcPr>
          <w:p w14:paraId="2A62D17D" w14:textId="77777777" w:rsidR="00AE634A" w:rsidRDefault="00B40EE4">
            <w:r>
              <w:rPr>
                <w:b/>
                <w:bCs/>
                <w:color w:val="00807C"/>
              </w:rPr>
              <w:t>Effective date</w:t>
            </w:r>
          </w:p>
        </w:tc>
        <w:tc>
          <w:tcPr>
            <w:tcW w:w="6800" w:type="dxa"/>
            <w:shd w:val="clear" w:color="auto" w:fill="E8F8F7"/>
            <w:tcMar>
              <w:top w:w="80" w:type="dxa"/>
              <w:left w:w="110" w:type="dxa"/>
              <w:bottom w:w="80" w:type="dxa"/>
              <w:right w:w="110" w:type="dxa"/>
            </w:tcMar>
          </w:tcPr>
          <w:p w14:paraId="2C0B6B06" w14:textId="77777777" w:rsidR="00AE634A" w:rsidRDefault="00B40EE4">
            <w:r>
              <w:rPr>
                <w:b/>
                <w:bCs/>
                <w:color w:val="00807C"/>
              </w:rPr>
              <w:t>Change summary</w:t>
            </w:r>
          </w:p>
        </w:tc>
      </w:tr>
      <w:tr w:rsidR="00AE634A" w14:paraId="33558542" w14:textId="77777777">
        <w:tc>
          <w:tcPr>
            <w:tcW w:w="1250" w:type="dxa"/>
            <w:tcMar>
              <w:top w:w="80" w:type="dxa"/>
              <w:left w:w="110" w:type="dxa"/>
              <w:bottom w:w="80" w:type="dxa"/>
              <w:right w:w="110" w:type="dxa"/>
            </w:tcMar>
          </w:tcPr>
          <w:p w14:paraId="4E82D705" w14:textId="77777777" w:rsidR="00AE634A" w:rsidRDefault="00B40EE4">
            <w:r>
              <w:rPr>
                <w:b/>
                <w:bCs/>
                <w:color w:val="000000"/>
              </w:rPr>
              <w:t>1.0</w:t>
            </w:r>
          </w:p>
        </w:tc>
        <w:tc>
          <w:tcPr>
            <w:tcW w:w="1850" w:type="dxa"/>
            <w:tcMar>
              <w:top w:w="80" w:type="dxa"/>
              <w:left w:w="110" w:type="dxa"/>
              <w:bottom w:w="80" w:type="dxa"/>
              <w:right w:w="110" w:type="dxa"/>
            </w:tcMar>
          </w:tcPr>
          <w:p w14:paraId="0C7FA7FF" w14:textId="77777777" w:rsidR="00AE634A" w:rsidRDefault="00B40EE4">
            <w:r>
              <w:rPr>
                <w:i/>
                <w:iCs/>
                <w:color w:val="000000"/>
              </w:rPr>
              <w:t>[date]</w:t>
            </w:r>
          </w:p>
        </w:tc>
        <w:tc>
          <w:tcPr>
            <w:tcW w:w="6800" w:type="dxa"/>
            <w:tcMar>
              <w:top w:w="80" w:type="dxa"/>
              <w:left w:w="110" w:type="dxa"/>
              <w:bottom w:w="80" w:type="dxa"/>
              <w:right w:w="110" w:type="dxa"/>
            </w:tcMar>
          </w:tcPr>
          <w:p w14:paraId="185C9890" w14:textId="651E2FFA" w:rsidR="00AE634A" w:rsidRDefault="00B40EE4">
            <w:r>
              <w:rPr>
                <w:color w:val="000000"/>
              </w:rPr>
              <w:t>Initial publication alongside the BiiGGA Broker Partner Terms. Transaction types are New Money and Top Up</w:t>
            </w:r>
            <w:r w:rsidR="0004477A">
              <w:rPr>
                <w:color w:val="000000"/>
              </w:rPr>
              <w:t xml:space="preserve">. </w:t>
            </w:r>
            <w:bookmarkStart w:id="0" w:name="iCurrent"/>
            <w:bookmarkEnd w:id="0"/>
            <w:r>
              <w:rPr>
                <w:color w:val="000000"/>
              </w:rPr>
              <w:t>New Money pays 6% across MCA, BTA and LOC. A Top Up on MCA or BTA is split three ways: 6% on the New Money Portion, 2% on the Repaid Portion, and nil on the Outstanding Balance. A LOC Top Up pays 6% on the increase in the approved limit. Referral partner rates are not included and will be published separately if a referrer channel is introduced.</w:t>
            </w:r>
          </w:p>
        </w:tc>
      </w:tr>
    </w:tbl>
    <w:p w14:paraId="72E6109C" w14:textId="77777777" w:rsidR="00AE634A" w:rsidRDefault="00B40EE4">
      <w:pPr>
        <w:pBdr>
          <w:top w:val="single" w:sz="6" w:space="8" w:color="C6DBD9"/>
        </w:pBdr>
        <w:spacing w:before="320"/>
      </w:pPr>
      <w:r>
        <w:rPr>
          <w:color w:val="5E6B6A"/>
          <w:sz w:val="16"/>
          <w:szCs w:val="16"/>
        </w:rPr>
        <w:t>BiiGGA Pty Ltd ABN 95 649 864 915, part of the Attvest group. 1300 472 663. broker@biigga.au. PO Box 7055, Upper Mt Gravatt QLD 4122.</w:t>
      </w:r>
    </w:p>
    <w:sectPr w:rsidR="00AE634A">
      <w:footerReference w:type="default" r:id="rId8"/>
      <w:pgSz w:w="11906" w:h="16838"/>
      <w:pgMar w:top="10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60547" w14:textId="77777777" w:rsidR="00220A9A" w:rsidRDefault="00220A9A">
      <w:r>
        <w:separator/>
      </w:r>
    </w:p>
  </w:endnote>
  <w:endnote w:type="continuationSeparator" w:id="0">
    <w:p w14:paraId="193973C1" w14:textId="77777777" w:rsidR="00220A9A" w:rsidRDefault="0022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761D" w14:textId="415224BF" w:rsidR="00AE634A" w:rsidRDefault="00B40EE4">
    <w:pPr>
      <w:jc w:val="right"/>
    </w:pPr>
    <w:bookmarkStart w:id="1" w:name="iTextFooter"/>
    <w:r>
      <w:rPr>
        <w:color w:val="5E6B6A"/>
        <w:sz w:val="16"/>
        <w:szCs w:val="16"/>
      </w:rPr>
      <w:t xml:space="preserve">BiiGGA Commission Payment Schedule v1.0 (draft)   </w:t>
    </w:r>
    <w:r>
      <w:rPr>
        <w:color w:val="5E6B6A"/>
        <w:sz w:val="16"/>
        <w:szCs w:val="16"/>
      </w:rPr>
      <w:fldChar w:fldCharType="begin"/>
    </w:r>
    <w:r>
      <w:rPr>
        <w:color w:val="5E6B6A"/>
        <w:sz w:val="16"/>
        <w:szCs w:val="16"/>
      </w:rPr>
      <w:instrText>PAGE</w:instrText>
    </w:r>
    <w:r>
      <w:rPr>
        <w:color w:val="5E6B6A"/>
        <w:sz w:val="16"/>
        <w:szCs w:val="16"/>
      </w:rPr>
      <w:fldChar w:fldCharType="separate"/>
    </w:r>
    <w:r w:rsidR="00F57CD8">
      <w:rPr>
        <w:noProof/>
        <w:color w:val="5E6B6A"/>
        <w:sz w:val="16"/>
        <w:szCs w:val="16"/>
      </w:rPr>
      <w:t>1</w:t>
    </w:r>
    <w:r>
      <w:rPr>
        <w:color w:val="5E6B6A"/>
        <w:sz w:val="16"/>
        <w:szCs w:val="16"/>
      </w:rP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F0EB8" w14:textId="77777777" w:rsidR="00220A9A" w:rsidRDefault="00220A9A">
      <w:r>
        <w:separator/>
      </w:r>
    </w:p>
  </w:footnote>
  <w:footnote w:type="continuationSeparator" w:id="0">
    <w:p w14:paraId="70890402" w14:textId="77777777" w:rsidR="00220A9A" w:rsidRDefault="00220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96F"/>
    <w:multiLevelType w:val="hybridMultilevel"/>
    <w:tmpl w:val="9BEE67E2"/>
    <w:lvl w:ilvl="0" w:tplc="E1F4E8B4">
      <w:start w:val="1"/>
      <w:numFmt w:val="bullet"/>
      <w:lvlText w:val="●"/>
      <w:lvlJc w:val="left"/>
      <w:pPr>
        <w:ind w:left="720" w:hanging="360"/>
      </w:pPr>
    </w:lvl>
    <w:lvl w:ilvl="1" w:tplc="EB64F876">
      <w:start w:val="1"/>
      <w:numFmt w:val="bullet"/>
      <w:lvlText w:val="○"/>
      <w:lvlJc w:val="left"/>
      <w:pPr>
        <w:ind w:left="1440" w:hanging="360"/>
      </w:pPr>
    </w:lvl>
    <w:lvl w:ilvl="2" w:tplc="7BEA5C3A">
      <w:start w:val="1"/>
      <w:numFmt w:val="bullet"/>
      <w:lvlText w:val="■"/>
      <w:lvlJc w:val="left"/>
      <w:pPr>
        <w:ind w:left="2160" w:hanging="360"/>
      </w:pPr>
    </w:lvl>
    <w:lvl w:ilvl="3" w:tplc="A8F0913E">
      <w:start w:val="1"/>
      <w:numFmt w:val="bullet"/>
      <w:lvlText w:val="●"/>
      <w:lvlJc w:val="left"/>
      <w:pPr>
        <w:ind w:left="2880" w:hanging="360"/>
      </w:pPr>
    </w:lvl>
    <w:lvl w:ilvl="4" w:tplc="891EE0C6">
      <w:start w:val="1"/>
      <w:numFmt w:val="bullet"/>
      <w:lvlText w:val="○"/>
      <w:lvlJc w:val="left"/>
      <w:pPr>
        <w:ind w:left="3600" w:hanging="360"/>
      </w:pPr>
    </w:lvl>
    <w:lvl w:ilvl="5" w:tplc="B888BA96">
      <w:start w:val="1"/>
      <w:numFmt w:val="bullet"/>
      <w:lvlText w:val="■"/>
      <w:lvlJc w:val="left"/>
      <w:pPr>
        <w:ind w:left="4320" w:hanging="360"/>
      </w:pPr>
    </w:lvl>
    <w:lvl w:ilvl="6" w:tplc="9B020FE2">
      <w:start w:val="1"/>
      <w:numFmt w:val="bullet"/>
      <w:lvlText w:val="●"/>
      <w:lvlJc w:val="left"/>
      <w:pPr>
        <w:ind w:left="5040" w:hanging="360"/>
      </w:pPr>
    </w:lvl>
    <w:lvl w:ilvl="7" w:tplc="C0F4F87E">
      <w:start w:val="1"/>
      <w:numFmt w:val="bullet"/>
      <w:lvlText w:val="●"/>
      <w:lvlJc w:val="left"/>
      <w:pPr>
        <w:ind w:left="5760" w:hanging="360"/>
      </w:pPr>
    </w:lvl>
    <w:lvl w:ilvl="8" w:tplc="BF721940">
      <w:start w:val="1"/>
      <w:numFmt w:val="bullet"/>
      <w:lvlText w:val="●"/>
      <w:lvlJc w:val="left"/>
      <w:pPr>
        <w:ind w:left="6480" w:hanging="360"/>
      </w:pPr>
    </w:lvl>
  </w:abstractNum>
  <w:abstractNum w:abstractNumId="1" w15:restartNumberingAfterBreak="0">
    <w:nsid w:val="662B5DA9"/>
    <w:multiLevelType w:val="hybridMultilevel"/>
    <w:tmpl w:val="C5AA8922"/>
    <w:lvl w:ilvl="0" w:tplc="0C090001">
      <w:start w:val="1"/>
      <w:numFmt w:val="bullet"/>
      <w:lvlText w:val=""/>
      <w:lvlJc w:val="left"/>
      <w:pPr>
        <w:ind w:left="540" w:hanging="360"/>
      </w:pPr>
      <w:rPr>
        <w:rFonts w:ascii="Symbol" w:hAnsi="Symbol"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num w:numId="1" w16cid:durableId="570847759">
    <w:abstractNumId w:val="0"/>
    <w:lvlOverride w:ilvl="0">
      <w:startOverride w:val="1"/>
    </w:lvlOverride>
  </w:num>
  <w:num w:numId="2" w16cid:durableId="1810247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34A"/>
    <w:rsid w:val="0004477A"/>
    <w:rsid w:val="00165094"/>
    <w:rsid w:val="001F367C"/>
    <w:rsid w:val="00220A9A"/>
    <w:rsid w:val="00223561"/>
    <w:rsid w:val="005B3762"/>
    <w:rsid w:val="00751E4D"/>
    <w:rsid w:val="007966AE"/>
    <w:rsid w:val="00972ED6"/>
    <w:rsid w:val="00A31383"/>
    <w:rsid w:val="00AE634A"/>
    <w:rsid w:val="00B40EE4"/>
    <w:rsid w:val="00B54093"/>
    <w:rsid w:val="00B93677"/>
    <w:rsid w:val="00C1248B"/>
    <w:rsid w:val="00E053BB"/>
    <w:rsid w:val="00F52DDE"/>
    <w:rsid w:val="00F57CD8"/>
    <w:rsid w:val="00F63478"/>
    <w:rsid w:val="00F92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94469"/>
  <w15:docId w15:val="{11BD9524-E071-4EBB-A803-58167613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9"/>
        <w:szCs w:val="19"/>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57CD8"/>
    <w:pPr>
      <w:tabs>
        <w:tab w:val="center" w:pos="4513"/>
        <w:tab w:val="right" w:pos="9026"/>
      </w:tabs>
    </w:pPr>
  </w:style>
  <w:style w:type="character" w:customStyle="1" w:styleId="HeaderChar">
    <w:name w:val="Header Char"/>
    <w:basedOn w:val="DefaultParagraphFont"/>
    <w:link w:val="Header"/>
    <w:uiPriority w:val="99"/>
    <w:rsid w:val="00F57CD8"/>
  </w:style>
  <w:style w:type="paragraph" w:styleId="Footer">
    <w:name w:val="footer"/>
    <w:basedOn w:val="Normal"/>
    <w:link w:val="FooterChar"/>
    <w:uiPriority w:val="99"/>
    <w:unhideWhenUsed/>
    <w:rsid w:val="00F57CD8"/>
    <w:pPr>
      <w:tabs>
        <w:tab w:val="center" w:pos="4513"/>
        <w:tab w:val="right" w:pos="9026"/>
      </w:tabs>
    </w:pPr>
  </w:style>
  <w:style w:type="character" w:customStyle="1" w:styleId="FooterChar">
    <w:name w:val="Footer Char"/>
    <w:basedOn w:val="DefaultParagraphFont"/>
    <w:link w:val="Footer"/>
    <w:uiPriority w:val="99"/>
    <w:rsid w:val="00F57CD8"/>
  </w:style>
  <w:style w:type="paragraph" w:styleId="Revision">
    <w:name w:val="Revision"/>
    <w:hidden/>
    <w:uiPriority w:val="99"/>
    <w:semiHidden/>
    <w:rsid w:val="007966AE"/>
  </w:style>
  <w:style w:type="character" w:styleId="CommentReference">
    <w:name w:val="annotation reference"/>
    <w:basedOn w:val="DefaultParagraphFont"/>
    <w:uiPriority w:val="99"/>
    <w:semiHidden/>
    <w:unhideWhenUsed/>
    <w:rsid w:val="007966AE"/>
    <w:rPr>
      <w:sz w:val="16"/>
      <w:szCs w:val="16"/>
    </w:rPr>
  </w:style>
  <w:style w:type="paragraph" w:styleId="CommentText">
    <w:name w:val="annotation text"/>
    <w:basedOn w:val="Normal"/>
    <w:link w:val="CommentTextChar"/>
    <w:uiPriority w:val="99"/>
    <w:unhideWhenUsed/>
    <w:rsid w:val="007966AE"/>
    <w:rPr>
      <w:sz w:val="20"/>
      <w:szCs w:val="20"/>
    </w:rPr>
  </w:style>
  <w:style w:type="character" w:customStyle="1" w:styleId="CommentTextChar">
    <w:name w:val="Comment Text Char"/>
    <w:basedOn w:val="DefaultParagraphFont"/>
    <w:link w:val="CommentText"/>
    <w:uiPriority w:val="99"/>
    <w:rsid w:val="007966AE"/>
    <w:rPr>
      <w:sz w:val="20"/>
      <w:szCs w:val="20"/>
    </w:rPr>
  </w:style>
  <w:style w:type="paragraph" w:styleId="CommentSubject">
    <w:name w:val="annotation subject"/>
    <w:basedOn w:val="CommentText"/>
    <w:next w:val="CommentText"/>
    <w:link w:val="CommentSubjectChar"/>
    <w:uiPriority w:val="99"/>
    <w:semiHidden/>
    <w:unhideWhenUsed/>
    <w:rsid w:val="007966AE"/>
    <w:rPr>
      <w:b/>
      <w:bCs/>
    </w:rPr>
  </w:style>
  <w:style w:type="character" w:customStyle="1" w:styleId="CommentSubjectChar">
    <w:name w:val="Comment Subject Char"/>
    <w:basedOn w:val="CommentTextChar"/>
    <w:link w:val="CommentSubject"/>
    <w:uiPriority w:val="99"/>
    <w:semiHidden/>
    <w:rsid w:val="007966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MATTERS!31575604.4</documentid>
  <senderid>EPC</senderid>
  <senderemail>ECOOPER@CARTERNEWELL.COM</senderemail>
  <lastmodified>2026-08-18T13:09:00.0000000+10:00</lastmodified>
  <database>MATTERS</database>
</properties>
</file>

<file path=customXML/itemProps.xml><?xml version="1.0" encoding="utf-8"?>
<ds:datastoreItem xmlns:ds="http://schemas.openxmlformats.org/officeDocument/2006/customXml" ds:itemID="{405B48CD-9A3F-48E6-B9C6-6174FCA08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Carter Newell</cp:lastModifiedBy>
  <cp:revision>4</cp:revision>
  <dcterms:created xsi:type="dcterms:W3CDTF">2026-08-18T03:09:00Z</dcterms:created>
  <dcterms:modified xsi:type="dcterms:W3CDTF">2026-08-18T03:09:00Z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xtFooter">
    <vt:lpwstr>31575604</vt:lpwstr>
  </property>
  <property fmtid="{D5CDD505-2E9C-101B-9397-08002B2CF9AE}" pid="3" name="iFooterChk">
    <vt:lpwstr>31575604</vt:lpwstr>
  </property>
</Properties>
</file>